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0163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23B2E6D1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214DAE14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3C1BFA0D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85494D3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7FDE1CCB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07039627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2FA41A21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458B3429" w14:textId="77777777" w:rsidR="00844340" w:rsidRPr="005504D6" w:rsidRDefault="00844340" w:rsidP="00F05D9C">
      <w:pPr>
        <w:spacing w:after="0" w:line="240" w:lineRule="auto"/>
        <w:rPr>
          <w:rFonts w:cs="Arial"/>
          <w:b/>
          <w:smallCaps/>
          <w:sz w:val="26"/>
          <w:szCs w:val="26"/>
        </w:rPr>
      </w:pPr>
    </w:p>
    <w:p w14:paraId="085CF060" w14:textId="77777777" w:rsidR="00844340" w:rsidRPr="005504D6" w:rsidRDefault="00844340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5504D6">
        <w:rPr>
          <w:rFonts w:cs="Arial"/>
          <w:b/>
          <w:smallCaps/>
          <w:sz w:val="32"/>
          <w:szCs w:val="32"/>
        </w:rPr>
        <w:t>HRVATSKA BANKA ZA OBNOVU I RAZVITAK</w:t>
      </w:r>
    </w:p>
    <w:p w14:paraId="707E406E" w14:textId="77777777" w:rsidR="006F37BC" w:rsidRPr="005504D6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367AA696" w14:textId="77777777" w:rsidR="006F37BC" w:rsidRPr="005504D6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5F3F0B35" w14:textId="474C3916" w:rsidR="00F05D9C" w:rsidRPr="005504D6" w:rsidRDefault="00137D4F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 </w:t>
      </w:r>
    </w:p>
    <w:p w14:paraId="109DE7EB" w14:textId="77777777" w:rsidR="000F2E14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SREDNJOROČNI PLAN POSLOVANJA </w:t>
      </w:r>
    </w:p>
    <w:p w14:paraId="14D6D8EC" w14:textId="2927DB1B" w:rsidR="00F05D9C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ZA RAZDOBLJE OD </w:t>
      </w:r>
      <w:r w:rsidR="00E6174D" w:rsidRPr="005504D6">
        <w:rPr>
          <w:rFonts w:cs="Arial"/>
          <w:b/>
          <w:sz w:val="32"/>
          <w:szCs w:val="32"/>
        </w:rPr>
        <w:t>20</w:t>
      </w:r>
      <w:r w:rsidR="00537386" w:rsidRPr="005504D6">
        <w:rPr>
          <w:rFonts w:cs="Arial"/>
          <w:b/>
          <w:sz w:val="32"/>
          <w:szCs w:val="32"/>
        </w:rPr>
        <w:t>2</w:t>
      </w:r>
      <w:r w:rsidR="00905AB8">
        <w:rPr>
          <w:rFonts w:cs="Arial"/>
          <w:b/>
          <w:sz w:val="32"/>
          <w:szCs w:val="32"/>
        </w:rPr>
        <w:t>5</w:t>
      </w:r>
      <w:r w:rsidR="00137D4F" w:rsidRPr="005504D6">
        <w:rPr>
          <w:rFonts w:cs="Arial"/>
          <w:b/>
          <w:sz w:val="32"/>
          <w:szCs w:val="32"/>
        </w:rPr>
        <w:t>.</w:t>
      </w:r>
      <w:r w:rsidR="00E6174D" w:rsidRPr="005504D6">
        <w:rPr>
          <w:rFonts w:cs="Arial"/>
          <w:b/>
          <w:sz w:val="32"/>
          <w:szCs w:val="32"/>
        </w:rPr>
        <w:t xml:space="preserve"> DO 202</w:t>
      </w:r>
      <w:r w:rsidR="00905AB8">
        <w:rPr>
          <w:rFonts w:cs="Arial"/>
          <w:b/>
          <w:sz w:val="32"/>
          <w:szCs w:val="32"/>
        </w:rPr>
        <w:t>7</w:t>
      </w:r>
      <w:r w:rsidRPr="005504D6">
        <w:rPr>
          <w:rFonts w:cs="Arial"/>
          <w:b/>
          <w:sz w:val="32"/>
          <w:szCs w:val="32"/>
        </w:rPr>
        <w:t>. GODINE</w:t>
      </w:r>
    </w:p>
    <w:p w14:paraId="114C9234" w14:textId="77777777" w:rsidR="000F2E14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41919EC5" w14:textId="77777777" w:rsidR="000F2E14" w:rsidRPr="005504D6" w:rsidRDefault="002653EA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>- opisni dio -</w:t>
      </w:r>
    </w:p>
    <w:p w14:paraId="0A84C928" w14:textId="77777777" w:rsidR="000F2E14" w:rsidRPr="005504D6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2325B1FD" w14:textId="77777777" w:rsidR="00844340" w:rsidRPr="005504D6" w:rsidRDefault="002933AE" w:rsidP="002933AE">
      <w:pPr>
        <w:pStyle w:val="ListParagraph"/>
        <w:ind w:left="0" w:right="57"/>
        <w:jc w:val="center"/>
        <w:rPr>
          <w:rFonts w:cs="Arial"/>
          <w:b/>
          <w:sz w:val="32"/>
          <w:szCs w:val="32"/>
        </w:rPr>
      </w:pPr>
      <w:r w:rsidRPr="005504D6">
        <w:rPr>
          <w:rFonts w:cs="Arial"/>
          <w:b/>
          <w:sz w:val="32"/>
          <w:szCs w:val="32"/>
        </w:rPr>
        <w:t xml:space="preserve">- </w:t>
      </w:r>
      <w:r w:rsidR="00844340" w:rsidRPr="005504D6">
        <w:rPr>
          <w:rFonts w:cs="Arial"/>
          <w:b/>
          <w:sz w:val="32"/>
          <w:szCs w:val="32"/>
        </w:rPr>
        <w:t>nekonsolidirano -</w:t>
      </w:r>
    </w:p>
    <w:p w14:paraId="782A020F" w14:textId="77777777" w:rsidR="00844340" w:rsidRPr="005504D6" w:rsidRDefault="00844340" w:rsidP="00844340">
      <w:pPr>
        <w:ind w:left="1506" w:right="-109"/>
        <w:rPr>
          <w:rFonts w:cs="Arial"/>
          <w:b/>
          <w:smallCaps/>
          <w:sz w:val="26"/>
          <w:szCs w:val="26"/>
        </w:rPr>
      </w:pPr>
    </w:p>
    <w:p w14:paraId="7E9E00C4" w14:textId="77777777" w:rsidR="00844340" w:rsidRPr="005504D6" w:rsidRDefault="00844340" w:rsidP="00844340">
      <w:pPr>
        <w:ind w:left="1506" w:right="-109"/>
        <w:jc w:val="both"/>
        <w:rPr>
          <w:rFonts w:cs="Arial"/>
          <w:b/>
          <w:smallCaps/>
          <w:sz w:val="26"/>
          <w:szCs w:val="26"/>
        </w:rPr>
      </w:pPr>
    </w:p>
    <w:p w14:paraId="0E906135" w14:textId="77777777" w:rsidR="00844340" w:rsidRPr="005504D6" w:rsidRDefault="00844340" w:rsidP="00844340">
      <w:pPr>
        <w:ind w:left="1506" w:right="-109"/>
        <w:jc w:val="both"/>
        <w:rPr>
          <w:rFonts w:cs="Arial"/>
          <w:b/>
          <w:sz w:val="26"/>
          <w:szCs w:val="26"/>
        </w:rPr>
      </w:pPr>
    </w:p>
    <w:p w14:paraId="53EDE76C" w14:textId="77777777" w:rsidR="00844340" w:rsidRPr="005504D6" w:rsidRDefault="00844340" w:rsidP="00844340">
      <w:pPr>
        <w:ind w:left="180" w:right="22"/>
        <w:rPr>
          <w:rFonts w:cs="Arial"/>
          <w:highlight w:val="yellow"/>
        </w:rPr>
      </w:pPr>
    </w:p>
    <w:p w14:paraId="68D40AC6" w14:textId="77777777" w:rsidR="00844340" w:rsidRPr="005504D6" w:rsidRDefault="00844340" w:rsidP="00844340">
      <w:pPr>
        <w:ind w:left="180" w:right="22"/>
        <w:rPr>
          <w:rFonts w:cs="Arial"/>
          <w:highlight w:val="yellow"/>
        </w:rPr>
      </w:pPr>
    </w:p>
    <w:p w14:paraId="29AE4764" w14:textId="77777777" w:rsidR="00844340" w:rsidRPr="005504D6" w:rsidRDefault="00844340" w:rsidP="00844340">
      <w:pPr>
        <w:ind w:right="-109"/>
        <w:jc w:val="both"/>
        <w:rPr>
          <w:rFonts w:cs="Arial"/>
          <w:b/>
        </w:rPr>
      </w:pPr>
    </w:p>
    <w:p w14:paraId="1DF58BAA" w14:textId="06AC0A41" w:rsidR="00844340" w:rsidRPr="005504D6" w:rsidRDefault="00FE0B66" w:rsidP="00844340">
      <w:pPr>
        <w:ind w:right="-109"/>
        <w:jc w:val="center"/>
        <w:rPr>
          <w:rFonts w:cs="Arial"/>
          <w:b/>
          <w:sz w:val="20"/>
        </w:rPr>
        <w:sectPr w:rsidR="00844340" w:rsidRPr="005504D6" w:rsidSect="00E8484F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5504D6">
        <w:rPr>
          <w:rFonts w:cs="Arial"/>
          <w:b/>
          <w:sz w:val="20"/>
        </w:rPr>
        <w:t>Zagreb,</w:t>
      </w:r>
      <w:r w:rsidR="00A6416C" w:rsidRPr="005504D6">
        <w:rPr>
          <w:rFonts w:cs="Arial"/>
          <w:b/>
          <w:sz w:val="20"/>
        </w:rPr>
        <w:t xml:space="preserve"> </w:t>
      </w:r>
      <w:r w:rsidR="00997BB3">
        <w:rPr>
          <w:rFonts w:cs="Arial"/>
          <w:b/>
          <w:sz w:val="20"/>
        </w:rPr>
        <w:t xml:space="preserve">prosinac </w:t>
      </w:r>
      <w:r w:rsidR="00AE3E89" w:rsidRPr="005504D6">
        <w:rPr>
          <w:rFonts w:cs="Arial"/>
          <w:b/>
          <w:sz w:val="20"/>
        </w:rPr>
        <w:t>20</w:t>
      </w:r>
      <w:r w:rsidR="00C74F8B" w:rsidRPr="005504D6">
        <w:rPr>
          <w:rFonts w:cs="Arial"/>
          <w:b/>
          <w:sz w:val="20"/>
        </w:rPr>
        <w:t>2</w:t>
      </w:r>
      <w:r w:rsidR="00905AB8">
        <w:rPr>
          <w:rFonts w:cs="Arial"/>
          <w:b/>
          <w:sz w:val="20"/>
        </w:rPr>
        <w:t>4</w:t>
      </w:r>
      <w:r w:rsidR="00844340" w:rsidRPr="005504D6">
        <w:rPr>
          <w:rFonts w:cs="Arial"/>
          <w:b/>
          <w:sz w:val="20"/>
        </w:rPr>
        <w:t>. godine</w:t>
      </w:r>
    </w:p>
    <w:p w14:paraId="56D98146" w14:textId="0DB51722" w:rsidR="00C74F8B" w:rsidRPr="00004075" w:rsidRDefault="00385B58" w:rsidP="00004075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>
        <w:rPr>
          <w:rFonts w:cs="Arial"/>
          <w:sz w:val="20"/>
        </w:rPr>
        <w:lastRenderedPageBreak/>
        <w:t>S</w:t>
      </w:r>
      <w:r w:rsidR="00000A38" w:rsidRPr="005504D6">
        <w:rPr>
          <w:rFonts w:cs="Arial"/>
          <w:sz w:val="20"/>
        </w:rPr>
        <w:t>rednjoročni Plan poslovanja HBOR-a za razdoblje od 20</w:t>
      </w:r>
      <w:r w:rsidR="00802D57" w:rsidRPr="005504D6">
        <w:rPr>
          <w:rFonts w:cs="Arial"/>
          <w:sz w:val="20"/>
        </w:rPr>
        <w:t>2</w:t>
      </w:r>
      <w:r w:rsidR="00905AB8">
        <w:rPr>
          <w:rFonts w:cs="Arial"/>
          <w:sz w:val="20"/>
        </w:rPr>
        <w:t>5</w:t>
      </w:r>
      <w:r w:rsidR="00000A38" w:rsidRPr="005504D6">
        <w:rPr>
          <w:rFonts w:cs="Arial"/>
          <w:sz w:val="20"/>
        </w:rPr>
        <w:t>. do 202</w:t>
      </w:r>
      <w:r w:rsidR="00905AB8">
        <w:rPr>
          <w:rFonts w:cs="Arial"/>
          <w:sz w:val="20"/>
        </w:rPr>
        <w:t>7</w:t>
      </w:r>
      <w:r w:rsidR="00000A38" w:rsidRPr="005504D6">
        <w:rPr>
          <w:rFonts w:cs="Arial"/>
          <w:sz w:val="20"/>
        </w:rPr>
        <w:t xml:space="preserve">. godine sastavljen je temeljem Upute za izradu i dostavu planova </w:t>
      </w:r>
      <w:r w:rsidR="00000A38" w:rsidRPr="005504D6">
        <w:rPr>
          <w:rFonts w:eastAsia="Times New Roman" w:cs="Arial"/>
          <w:spacing w:val="-3"/>
          <w:sz w:val="20"/>
        </w:rPr>
        <w:t>i izvještaja o poslovanju trgovačkih društava i pravnih osoba koji čine državnu imovinu („Uputa“), Klasa:</w:t>
      </w:r>
      <w:r w:rsidR="008F2D78" w:rsidRPr="005504D6">
        <w:rPr>
          <w:rFonts w:eastAsia="Times New Roman" w:cs="Arial"/>
          <w:spacing w:val="-3"/>
          <w:sz w:val="20"/>
        </w:rPr>
        <w:t xml:space="preserve"> </w:t>
      </w:r>
      <w:r w:rsidR="00000A38" w:rsidRPr="005504D6">
        <w:rPr>
          <w:rFonts w:eastAsia="Times New Roman" w:cs="Arial"/>
          <w:spacing w:val="-3"/>
          <w:sz w:val="20"/>
        </w:rPr>
        <w:t>011-01/18-01/88, Urbroj: 536-0</w:t>
      </w:r>
      <w:r w:rsidR="00651C1A" w:rsidRPr="005504D6">
        <w:rPr>
          <w:rFonts w:eastAsia="Times New Roman" w:cs="Arial"/>
          <w:spacing w:val="-3"/>
          <w:sz w:val="20"/>
        </w:rPr>
        <w:t>4</w:t>
      </w:r>
      <w:r w:rsidR="00000A38" w:rsidRPr="005504D6">
        <w:rPr>
          <w:rFonts w:eastAsia="Times New Roman" w:cs="Arial"/>
          <w:spacing w:val="-3"/>
          <w:sz w:val="20"/>
        </w:rPr>
        <w:t>-01-0</w:t>
      </w:r>
      <w:r w:rsidR="00651C1A" w:rsidRPr="005504D6">
        <w:rPr>
          <w:rFonts w:eastAsia="Times New Roman" w:cs="Arial"/>
          <w:spacing w:val="-3"/>
          <w:sz w:val="20"/>
        </w:rPr>
        <w:t>2</w:t>
      </w:r>
      <w:r w:rsidR="00000A38" w:rsidRPr="005504D6">
        <w:rPr>
          <w:rFonts w:eastAsia="Times New Roman" w:cs="Arial"/>
          <w:spacing w:val="-3"/>
          <w:sz w:val="20"/>
        </w:rPr>
        <w:t>/0</w:t>
      </w:r>
      <w:r w:rsidR="00651C1A" w:rsidRPr="005504D6">
        <w:rPr>
          <w:rFonts w:eastAsia="Times New Roman" w:cs="Arial"/>
          <w:spacing w:val="-3"/>
          <w:sz w:val="20"/>
        </w:rPr>
        <w:t>2</w:t>
      </w:r>
      <w:r w:rsidR="00000A38" w:rsidRPr="005504D6">
        <w:rPr>
          <w:rFonts w:eastAsia="Times New Roman" w:cs="Arial"/>
          <w:spacing w:val="-3"/>
          <w:sz w:val="20"/>
        </w:rPr>
        <w:t>-1</w:t>
      </w:r>
      <w:r w:rsidR="00651C1A" w:rsidRPr="005504D6">
        <w:rPr>
          <w:rFonts w:eastAsia="Times New Roman" w:cs="Arial"/>
          <w:spacing w:val="-3"/>
          <w:sz w:val="20"/>
        </w:rPr>
        <w:t>9</w:t>
      </w:r>
      <w:r w:rsidR="00000A38" w:rsidRPr="005504D6">
        <w:rPr>
          <w:rFonts w:eastAsia="Times New Roman" w:cs="Arial"/>
          <w:spacing w:val="-3"/>
          <w:sz w:val="20"/>
        </w:rPr>
        <w:t>-</w:t>
      </w:r>
      <w:r w:rsidR="00651C1A" w:rsidRPr="005504D6">
        <w:rPr>
          <w:rFonts w:eastAsia="Times New Roman" w:cs="Arial"/>
          <w:spacing w:val="-3"/>
          <w:sz w:val="20"/>
        </w:rPr>
        <w:t>16</w:t>
      </w:r>
      <w:r w:rsidR="00000A38" w:rsidRPr="005504D6">
        <w:rPr>
          <w:rFonts w:eastAsia="Times New Roman" w:cs="Arial"/>
          <w:spacing w:val="-3"/>
          <w:sz w:val="20"/>
        </w:rPr>
        <w:t xml:space="preserve"> od </w:t>
      </w:r>
      <w:r w:rsidR="00651C1A" w:rsidRPr="005504D6">
        <w:rPr>
          <w:rFonts w:eastAsia="Times New Roman" w:cs="Arial"/>
          <w:spacing w:val="-3"/>
          <w:sz w:val="20"/>
        </w:rPr>
        <w:t>5</w:t>
      </w:r>
      <w:r w:rsidR="00000A38" w:rsidRPr="005504D6">
        <w:rPr>
          <w:rFonts w:eastAsia="Times New Roman" w:cs="Arial"/>
          <w:spacing w:val="-3"/>
          <w:sz w:val="20"/>
        </w:rPr>
        <w:t>. rujna 201</w:t>
      </w:r>
      <w:r w:rsidR="00651C1A" w:rsidRPr="005504D6">
        <w:rPr>
          <w:rFonts w:eastAsia="Times New Roman" w:cs="Arial"/>
          <w:spacing w:val="-3"/>
          <w:sz w:val="20"/>
        </w:rPr>
        <w:t>9</w:t>
      </w:r>
      <w:r w:rsidR="00000A38" w:rsidRPr="005504D6">
        <w:rPr>
          <w:rFonts w:eastAsia="Times New Roman" w:cs="Arial"/>
          <w:spacing w:val="-3"/>
          <w:sz w:val="20"/>
        </w:rPr>
        <w:t>. godine</w:t>
      </w:r>
      <w:r w:rsidR="00C74F8B" w:rsidRPr="005504D6">
        <w:rPr>
          <w:rFonts w:eastAsia="Times New Roman" w:cs="Arial"/>
          <w:spacing w:val="-3"/>
          <w:sz w:val="20"/>
        </w:rPr>
        <w:t>.</w:t>
      </w:r>
      <w:r w:rsidR="0013188A" w:rsidRPr="005504D6">
        <w:rPr>
          <w:rFonts w:eastAsia="Times New Roman" w:cs="Arial"/>
          <w:spacing w:val="-3"/>
          <w:sz w:val="20"/>
        </w:rPr>
        <w:t xml:space="preserve"> </w:t>
      </w:r>
      <w:r w:rsidR="00CD4A6B">
        <w:rPr>
          <w:rFonts w:eastAsia="Times New Roman" w:cs="Arial"/>
          <w:spacing w:val="-3"/>
          <w:sz w:val="20"/>
        </w:rPr>
        <w:t>S</w:t>
      </w:r>
      <w:r w:rsidR="00C74F8B" w:rsidRPr="005504D6">
        <w:rPr>
          <w:rFonts w:eastAsia="Times New Roman" w:cs="Arial"/>
          <w:spacing w:val="-3"/>
          <w:sz w:val="20"/>
        </w:rPr>
        <w:t>rednjoročni Plan poslovanja HBOR-a za razdoblje od 20</w:t>
      </w:r>
      <w:r w:rsidR="001D4699" w:rsidRPr="005504D6">
        <w:rPr>
          <w:rFonts w:eastAsia="Times New Roman" w:cs="Arial"/>
          <w:spacing w:val="-3"/>
          <w:sz w:val="20"/>
        </w:rPr>
        <w:t>2</w:t>
      </w:r>
      <w:r w:rsidR="00905AB8">
        <w:rPr>
          <w:rFonts w:eastAsia="Times New Roman" w:cs="Arial"/>
          <w:spacing w:val="-3"/>
          <w:sz w:val="20"/>
        </w:rPr>
        <w:t>5</w:t>
      </w:r>
      <w:r w:rsidR="00C74F8B" w:rsidRPr="005504D6">
        <w:rPr>
          <w:rFonts w:eastAsia="Times New Roman" w:cs="Arial"/>
          <w:spacing w:val="-3"/>
          <w:sz w:val="20"/>
        </w:rPr>
        <w:t>. do 202</w:t>
      </w:r>
      <w:r w:rsidR="00905AB8">
        <w:rPr>
          <w:rFonts w:eastAsia="Times New Roman" w:cs="Arial"/>
          <w:spacing w:val="-3"/>
          <w:sz w:val="20"/>
        </w:rPr>
        <w:t>7</w:t>
      </w:r>
      <w:r w:rsidR="00C74F8B" w:rsidRPr="005504D6">
        <w:rPr>
          <w:rFonts w:eastAsia="Times New Roman" w:cs="Arial"/>
          <w:spacing w:val="-3"/>
          <w:sz w:val="20"/>
        </w:rPr>
        <w:t>. godine temelj</w:t>
      </w:r>
      <w:r w:rsidR="000F471A">
        <w:rPr>
          <w:rFonts w:eastAsia="Times New Roman" w:cs="Arial"/>
          <w:spacing w:val="-3"/>
          <w:sz w:val="20"/>
        </w:rPr>
        <w:t>i</w:t>
      </w:r>
      <w:r w:rsidR="00C74F8B" w:rsidRPr="005504D6">
        <w:rPr>
          <w:rFonts w:eastAsia="Times New Roman" w:cs="Arial"/>
          <w:spacing w:val="-3"/>
          <w:sz w:val="20"/>
        </w:rPr>
        <w:t xml:space="preserve"> se na</w:t>
      </w:r>
      <w:r w:rsidR="00004075">
        <w:rPr>
          <w:rFonts w:eastAsia="Times New Roman" w:cs="Arial"/>
          <w:spacing w:val="-3"/>
          <w:sz w:val="20"/>
        </w:rPr>
        <w:t xml:space="preserve"> </w:t>
      </w:r>
      <w:r w:rsidR="00D942E7" w:rsidRPr="00004075">
        <w:rPr>
          <w:rFonts w:eastAsia="Times New Roman" w:cs="Arial"/>
          <w:spacing w:val="-3"/>
          <w:sz w:val="20"/>
        </w:rPr>
        <w:t>Plan</w:t>
      </w:r>
      <w:r w:rsidR="00533355" w:rsidRPr="00004075">
        <w:rPr>
          <w:rFonts w:eastAsia="Times New Roman" w:cs="Arial"/>
          <w:spacing w:val="-3"/>
          <w:sz w:val="20"/>
        </w:rPr>
        <w:t>u</w:t>
      </w:r>
      <w:r w:rsidR="00D942E7" w:rsidRPr="00004075">
        <w:rPr>
          <w:rFonts w:eastAsia="Times New Roman" w:cs="Arial"/>
          <w:spacing w:val="-3"/>
          <w:sz w:val="20"/>
        </w:rPr>
        <w:t xml:space="preserve"> poslovanja</w:t>
      </w:r>
      <w:r w:rsidR="00FC7FB4" w:rsidRPr="00004075">
        <w:rPr>
          <w:rFonts w:eastAsia="Times New Roman" w:cs="Arial"/>
          <w:spacing w:val="-3"/>
          <w:sz w:val="20"/>
        </w:rPr>
        <w:t xml:space="preserve"> Grupe HBOR za razdoblje od 202</w:t>
      </w:r>
      <w:r w:rsidR="00905AB8" w:rsidRPr="00004075">
        <w:rPr>
          <w:rFonts w:eastAsia="Times New Roman" w:cs="Arial"/>
          <w:spacing w:val="-3"/>
          <w:sz w:val="20"/>
        </w:rPr>
        <w:t>4</w:t>
      </w:r>
      <w:r w:rsidR="00FC7FB4" w:rsidRPr="00004075">
        <w:rPr>
          <w:rFonts w:eastAsia="Times New Roman" w:cs="Arial"/>
          <w:spacing w:val="-3"/>
          <w:sz w:val="20"/>
        </w:rPr>
        <w:t>. do 202</w:t>
      </w:r>
      <w:r w:rsidR="00905AB8" w:rsidRPr="00004075">
        <w:rPr>
          <w:rFonts w:eastAsia="Times New Roman" w:cs="Arial"/>
          <w:spacing w:val="-3"/>
          <w:sz w:val="20"/>
        </w:rPr>
        <w:t>9</w:t>
      </w:r>
      <w:r w:rsidR="001D4699" w:rsidRPr="00004075">
        <w:rPr>
          <w:rFonts w:eastAsia="Times New Roman" w:cs="Arial"/>
          <w:spacing w:val="-3"/>
          <w:sz w:val="20"/>
        </w:rPr>
        <w:t>.</w:t>
      </w:r>
      <w:r w:rsidR="00FC7FB4" w:rsidRPr="00004075">
        <w:rPr>
          <w:rFonts w:eastAsia="Times New Roman" w:cs="Arial"/>
          <w:spacing w:val="-3"/>
          <w:sz w:val="20"/>
        </w:rPr>
        <w:t xml:space="preserve"> godine kojeg je Uprava HBOR-a prihvatila na sjednici održanoj </w:t>
      </w:r>
      <w:r w:rsidR="008F3774" w:rsidRPr="00004075">
        <w:rPr>
          <w:rFonts w:eastAsia="Times New Roman" w:cs="Arial"/>
          <w:spacing w:val="-3"/>
          <w:sz w:val="20"/>
        </w:rPr>
        <w:t>28</w:t>
      </w:r>
      <w:r w:rsidR="00FC7FB4" w:rsidRPr="00004075">
        <w:rPr>
          <w:rFonts w:eastAsia="Times New Roman" w:cs="Arial"/>
          <w:spacing w:val="-3"/>
          <w:sz w:val="20"/>
        </w:rPr>
        <w:t xml:space="preserve">. </w:t>
      </w:r>
      <w:r w:rsidR="008F3774" w:rsidRPr="00004075">
        <w:rPr>
          <w:rFonts w:eastAsia="Times New Roman" w:cs="Arial"/>
          <w:spacing w:val="-3"/>
          <w:sz w:val="20"/>
        </w:rPr>
        <w:t>studenog</w:t>
      </w:r>
      <w:r w:rsidR="000F471A" w:rsidRPr="00004075">
        <w:rPr>
          <w:rFonts w:eastAsia="Times New Roman" w:cs="Arial"/>
          <w:spacing w:val="-3"/>
          <w:sz w:val="20"/>
        </w:rPr>
        <w:t>a</w:t>
      </w:r>
      <w:r w:rsidR="00FC7FB4" w:rsidRPr="00004075">
        <w:rPr>
          <w:rFonts w:eastAsia="Times New Roman" w:cs="Arial"/>
          <w:spacing w:val="-3"/>
          <w:sz w:val="20"/>
        </w:rPr>
        <w:t xml:space="preserve"> 202</w:t>
      </w:r>
      <w:r w:rsidR="008F3774" w:rsidRPr="00004075">
        <w:rPr>
          <w:rFonts w:eastAsia="Times New Roman" w:cs="Arial"/>
          <w:spacing w:val="-3"/>
          <w:sz w:val="20"/>
        </w:rPr>
        <w:t>4</w:t>
      </w:r>
      <w:r w:rsidR="00FC7FB4" w:rsidRPr="00004075">
        <w:rPr>
          <w:rFonts w:eastAsia="Times New Roman" w:cs="Arial"/>
          <w:spacing w:val="-3"/>
          <w:sz w:val="20"/>
        </w:rPr>
        <w:t xml:space="preserve">. godine i </w:t>
      </w:r>
      <w:r w:rsidR="007E2D04" w:rsidRPr="00004075">
        <w:rPr>
          <w:rFonts w:eastAsia="Times New Roman" w:cs="Arial"/>
          <w:spacing w:val="-3"/>
          <w:sz w:val="20"/>
        </w:rPr>
        <w:t xml:space="preserve">Nadzorni odbor dao suglasnost </w:t>
      </w:r>
      <w:r w:rsidR="00527025" w:rsidRPr="00004075">
        <w:rPr>
          <w:rFonts w:eastAsia="Times New Roman" w:cs="Arial"/>
          <w:spacing w:val="-3"/>
          <w:sz w:val="20"/>
        </w:rPr>
        <w:t>1</w:t>
      </w:r>
      <w:r w:rsidR="008F3774" w:rsidRPr="00004075">
        <w:rPr>
          <w:rFonts w:eastAsia="Times New Roman" w:cs="Arial"/>
          <w:spacing w:val="-3"/>
          <w:sz w:val="20"/>
        </w:rPr>
        <w:t>8</w:t>
      </w:r>
      <w:r w:rsidR="00C85677" w:rsidRPr="00004075">
        <w:rPr>
          <w:rFonts w:eastAsia="Times New Roman" w:cs="Arial"/>
          <w:spacing w:val="-3"/>
          <w:sz w:val="20"/>
        </w:rPr>
        <w:t xml:space="preserve">. </w:t>
      </w:r>
      <w:r w:rsidR="00527025" w:rsidRPr="00004075">
        <w:rPr>
          <w:rFonts w:eastAsia="Times New Roman" w:cs="Arial"/>
          <w:spacing w:val="-3"/>
          <w:sz w:val="20"/>
        </w:rPr>
        <w:t>prosinca</w:t>
      </w:r>
      <w:r w:rsidR="00E43C2E" w:rsidRPr="00004075">
        <w:rPr>
          <w:rFonts w:eastAsia="Times New Roman" w:cs="Arial"/>
          <w:spacing w:val="-3"/>
          <w:sz w:val="20"/>
        </w:rPr>
        <w:t xml:space="preserve"> 202</w:t>
      </w:r>
      <w:r w:rsidR="008F3774" w:rsidRPr="00004075">
        <w:rPr>
          <w:rFonts w:eastAsia="Times New Roman" w:cs="Arial"/>
          <w:spacing w:val="-3"/>
          <w:sz w:val="20"/>
        </w:rPr>
        <w:t>4</w:t>
      </w:r>
      <w:r w:rsidR="00C85677" w:rsidRPr="00004075">
        <w:rPr>
          <w:rFonts w:eastAsia="Times New Roman" w:cs="Arial"/>
          <w:spacing w:val="-3"/>
          <w:sz w:val="20"/>
        </w:rPr>
        <w:t>.</w:t>
      </w:r>
      <w:r w:rsidR="00E43C2E" w:rsidRPr="00004075">
        <w:rPr>
          <w:rFonts w:eastAsia="Times New Roman" w:cs="Arial"/>
          <w:spacing w:val="-3"/>
          <w:sz w:val="20"/>
        </w:rPr>
        <w:t xml:space="preserve"> godine</w:t>
      </w:r>
      <w:r w:rsidR="00000BA5" w:rsidRPr="00004075">
        <w:rPr>
          <w:rFonts w:eastAsia="Times New Roman" w:cs="Arial"/>
          <w:spacing w:val="-3"/>
          <w:sz w:val="20"/>
        </w:rPr>
        <w:t>.</w:t>
      </w:r>
    </w:p>
    <w:p w14:paraId="0C3D1980" w14:textId="0641A3DA" w:rsidR="00C74F8B" w:rsidRPr="005504D6" w:rsidRDefault="00226276" w:rsidP="00DA1E5D">
      <w:pPr>
        <w:pStyle w:val="ListParagraph"/>
      </w:pPr>
      <w:r w:rsidRPr="00DA1E5D">
        <w:rPr>
          <w:rFonts w:eastAsia="Times New Roman" w:cs="Arial"/>
          <w:spacing w:val="-3"/>
          <w:sz w:val="20"/>
        </w:rPr>
        <w:t xml:space="preserve"> </w:t>
      </w:r>
    </w:p>
    <w:p w14:paraId="1F07FCD3" w14:textId="03FBB49E" w:rsidR="00000A38" w:rsidRPr="005504D6" w:rsidRDefault="00AB3BDB" w:rsidP="00000A38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Podaci za s</w:t>
      </w:r>
      <w:r w:rsidR="00000A38" w:rsidRPr="005504D6">
        <w:rPr>
          <w:rFonts w:cs="Arial"/>
          <w:sz w:val="20"/>
        </w:rPr>
        <w:t>rednjoročn</w:t>
      </w:r>
      <w:r w:rsidR="001319FB">
        <w:rPr>
          <w:rFonts w:cs="Arial"/>
          <w:sz w:val="20"/>
        </w:rPr>
        <w:t>i</w:t>
      </w:r>
      <w:r w:rsidR="00000A38" w:rsidRPr="005504D6">
        <w:rPr>
          <w:rFonts w:cs="Arial"/>
          <w:sz w:val="20"/>
        </w:rPr>
        <w:t xml:space="preserve"> Plan poslovanja za razdoblje od 20</w:t>
      </w:r>
      <w:r w:rsidR="008F3774">
        <w:rPr>
          <w:rFonts w:cs="Arial"/>
          <w:sz w:val="20"/>
        </w:rPr>
        <w:t>25</w:t>
      </w:r>
      <w:r w:rsidR="00000A38" w:rsidRPr="005504D6">
        <w:rPr>
          <w:rFonts w:cs="Arial"/>
          <w:sz w:val="20"/>
        </w:rPr>
        <w:t>. do 202</w:t>
      </w:r>
      <w:r w:rsidR="00905AB8">
        <w:rPr>
          <w:rFonts w:cs="Arial"/>
          <w:sz w:val="20"/>
        </w:rPr>
        <w:t>7</w:t>
      </w:r>
      <w:r w:rsidR="00000A38" w:rsidRPr="005504D6">
        <w:rPr>
          <w:rFonts w:cs="Arial"/>
          <w:sz w:val="20"/>
        </w:rPr>
        <w:t>. godine dostavlja</w:t>
      </w:r>
      <w:r>
        <w:rPr>
          <w:rFonts w:cs="Arial"/>
          <w:sz w:val="20"/>
        </w:rPr>
        <w:t>ju</w:t>
      </w:r>
      <w:r w:rsidR="00000A38" w:rsidRPr="005504D6">
        <w:rPr>
          <w:rFonts w:cs="Arial"/>
          <w:sz w:val="20"/>
        </w:rPr>
        <w:t xml:space="preserve"> se za potrebe ovog zahtjeva. Za svaku daljnju objavu i/ili distribuciju navedenih podataka potrebno je prethodno odobrenje HBOR-a.</w:t>
      </w:r>
    </w:p>
    <w:p w14:paraId="4A4B2B05" w14:textId="77777777" w:rsidR="003C40AE" w:rsidRPr="00DA1E5D" w:rsidRDefault="003C40AE" w:rsidP="003C40AE">
      <w:pPr>
        <w:tabs>
          <w:tab w:val="left" w:pos="2680"/>
        </w:tabs>
        <w:rPr>
          <w:rFonts w:asciiTheme="minorHAnsi" w:hAnsiTheme="minorHAnsi"/>
          <w:sz w:val="18"/>
          <w:szCs w:val="18"/>
        </w:rPr>
      </w:pPr>
    </w:p>
    <w:p w14:paraId="0FA6B8F0" w14:textId="0A117A80" w:rsidR="00A21432" w:rsidRDefault="00A21432" w:rsidP="00A21432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0A565B7F" w14:textId="188FEE43" w:rsidR="006D2586" w:rsidRPr="006752B8" w:rsidRDefault="006D2586" w:rsidP="006752B8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6752B8">
        <w:rPr>
          <w:rFonts w:cs="Arial"/>
          <w:b/>
          <w:sz w:val="20"/>
        </w:rPr>
        <w:t>S</w:t>
      </w:r>
      <w:r w:rsidR="00641DD1" w:rsidRPr="006752B8">
        <w:rPr>
          <w:rFonts w:cs="Arial"/>
          <w:b/>
          <w:sz w:val="20"/>
        </w:rPr>
        <w:t>rednjoročni</w:t>
      </w:r>
      <w:r w:rsidRPr="006752B8">
        <w:rPr>
          <w:rFonts w:cs="Arial"/>
          <w:b/>
          <w:sz w:val="20"/>
        </w:rPr>
        <w:t xml:space="preserve"> plan poslovanja za</w:t>
      </w:r>
      <w:r w:rsidR="00641DD1" w:rsidRPr="006752B8">
        <w:rPr>
          <w:rFonts w:cs="Arial"/>
          <w:b/>
          <w:sz w:val="20"/>
        </w:rPr>
        <w:t xml:space="preserve"> razdoblje od</w:t>
      </w:r>
      <w:r w:rsidR="00994A71" w:rsidRPr="006752B8">
        <w:rPr>
          <w:rFonts w:cs="Arial"/>
          <w:b/>
          <w:sz w:val="20"/>
        </w:rPr>
        <w:t xml:space="preserve"> 20</w:t>
      </w:r>
      <w:r w:rsidR="00CF135F" w:rsidRPr="006752B8">
        <w:rPr>
          <w:rFonts w:cs="Arial"/>
          <w:b/>
          <w:sz w:val="20"/>
        </w:rPr>
        <w:t>2</w:t>
      </w:r>
      <w:r w:rsidR="007371A0" w:rsidRPr="006752B8">
        <w:rPr>
          <w:rFonts w:cs="Arial"/>
          <w:b/>
          <w:sz w:val="20"/>
        </w:rPr>
        <w:t>5</w:t>
      </w:r>
      <w:r w:rsidRPr="006752B8">
        <w:rPr>
          <w:rFonts w:cs="Arial"/>
          <w:b/>
          <w:sz w:val="20"/>
        </w:rPr>
        <w:t>.</w:t>
      </w:r>
      <w:r w:rsidR="00994A71" w:rsidRPr="006752B8">
        <w:rPr>
          <w:rFonts w:cs="Arial"/>
          <w:b/>
          <w:sz w:val="20"/>
        </w:rPr>
        <w:t xml:space="preserve"> do 202</w:t>
      </w:r>
      <w:r w:rsidR="007371A0" w:rsidRPr="006752B8">
        <w:rPr>
          <w:rFonts w:cs="Arial"/>
          <w:b/>
          <w:sz w:val="20"/>
        </w:rPr>
        <w:t>7</w:t>
      </w:r>
      <w:r w:rsidR="00641DD1" w:rsidRPr="006752B8">
        <w:rPr>
          <w:rFonts w:cs="Arial"/>
          <w:b/>
          <w:sz w:val="20"/>
        </w:rPr>
        <w:t>. godine</w:t>
      </w:r>
      <w:r w:rsidRPr="006752B8">
        <w:rPr>
          <w:rFonts w:cs="Arial"/>
          <w:b/>
          <w:sz w:val="20"/>
        </w:rPr>
        <w:t>:</w:t>
      </w:r>
    </w:p>
    <w:p w14:paraId="2E00D315" w14:textId="77777777" w:rsidR="006D2586" w:rsidRPr="005504D6" w:rsidRDefault="006D2586" w:rsidP="006D258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70AE8C17" w14:textId="5F235761" w:rsidR="006D2586" w:rsidRDefault="006D2586" w:rsidP="00CD4A6B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 xml:space="preserve">Plan </w:t>
      </w:r>
      <w:r w:rsidR="00CF135F" w:rsidRPr="005504D6">
        <w:rPr>
          <w:rFonts w:cs="Arial"/>
          <w:b/>
          <w:sz w:val="20"/>
        </w:rPr>
        <w:t>Račun dobiti i gubitka</w:t>
      </w:r>
      <w:r w:rsidRPr="005504D6">
        <w:rPr>
          <w:rFonts w:cs="Arial"/>
          <w:b/>
          <w:sz w:val="20"/>
        </w:rPr>
        <w:t xml:space="preserve"> HBOR-a za razdoblje od 1. siječnja do 31. prosinca:</w:t>
      </w:r>
    </w:p>
    <w:p w14:paraId="39CB7EA0" w14:textId="77777777" w:rsidR="006752B8" w:rsidRDefault="006752B8" w:rsidP="006752B8">
      <w:pPr>
        <w:pStyle w:val="ListParagraph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cs="Arial"/>
          <w:b/>
          <w:sz w:val="20"/>
        </w:rPr>
      </w:pPr>
    </w:p>
    <w:p w14:paraId="4088D382" w14:textId="77777777" w:rsidR="00A21432" w:rsidRPr="00385B58" w:rsidRDefault="00A21432" w:rsidP="00385B5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</w:rPr>
      </w:pPr>
    </w:p>
    <w:tbl>
      <w:tblPr>
        <w:tblW w:w="5849" w:type="pct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3122"/>
        <w:gridCol w:w="1306"/>
        <w:gridCol w:w="1306"/>
        <w:gridCol w:w="1306"/>
        <w:gridCol w:w="1306"/>
        <w:gridCol w:w="1314"/>
      </w:tblGrid>
      <w:tr w:rsidR="007660A5" w:rsidRPr="00514A44" w14:paraId="47A3B463" w14:textId="77777777" w:rsidTr="00E36D6B">
        <w:trPr>
          <w:trHeight w:val="44"/>
          <w:jc w:val="center"/>
        </w:trPr>
        <w:tc>
          <w:tcPr>
            <w:tcW w:w="953" w:type="dxa"/>
            <w:tcBorders>
              <w:bottom w:val="nil"/>
            </w:tcBorders>
            <w:shd w:val="clear" w:color="000000" w:fill="FFFFFF"/>
            <w:vAlign w:val="bottom"/>
          </w:tcPr>
          <w:p w14:paraId="734148C9" w14:textId="77777777" w:rsidR="007660A5" w:rsidRPr="005504D6" w:rsidRDefault="007660A5" w:rsidP="00CB5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60" w:type="dxa"/>
            <w:gridSpan w:val="6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2A923FBB" w14:textId="77777777" w:rsidR="007660A5" w:rsidRPr="005D5B4E" w:rsidRDefault="007660A5" w:rsidP="00CB5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D5B4E">
              <w:rPr>
                <w:rFonts w:eastAsia="Times New Roman" w:cs="Arial"/>
                <w:b/>
                <w:bCs/>
                <w:sz w:val="18"/>
                <w:szCs w:val="18"/>
              </w:rPr>
              <w:t>RAČUN  DOBITI  I  GUBITKA</w:t>
            </w:r>
          </w:p>
        </w:tc>
      </w:tr>
      <w:tr w:rsidR="007660A5" w:rsidRPr="00514A44" w14:paraId="0480929D" w14:textId="77777777" w:rsidTr="00E36D6B">
        <w:trPr>
          <w:trHeight w:val="51"/>
          <w:jc w:val="center"/>
        </w:trPr>
        <w:tc>
          <w:tcPr>
            <w:tcW w:w="953" w:type="dxa"/>
            <w:tcBorders>
              <w:top w:val="nil"/>
            </w:tcBorders>
            <w:shd w:val="clear" w:color="000000" w:fill="FFFFFF"/>
            <w:vAlign w:val="bottom"/>
          </w:tcPr>
          <w:p w14:paraId="6E4C106E" w14:textId="77777777" w:rsidR="007660A5" w:rsidRPr="00514A44" w:rsidRDefault="007660A5" w:rsidP="00084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60" w:type="dxa"/>
            <w:gridSpan w:val="6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771F3D53" w14:textId="57AA25C4" w:rsidR="00385B58" w:rsidRPr="005D5B4E" w:rsidRDefault="007660A5" w:rsidP="00385B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D5B4E">
              <w:rPr>
                <w:rFonts w:eastAsia="Times New Roman" w:cs="Arial"/>
                <w:b/>
                <w:bCs/>
                <w:sz w:val="18"/>
                <w:szCs w:val="18"/>
              </w:rPr>
              <w:t>za  razdoblje  od  1. siječnja  do 31. prosinca</w:t>
            </w:r>
          </w:p>
        </w:tc>
      </w:tr>
      <w:tr w:rsidR="00385B58" w:rsidRPr="00514A44" w14:paraId="423A2E26" w14:textId="77777777" w:rsidTr="00E36D6B">
        <w:trPr>
          <w:trHeight w:val="148"/>
          <w:jc w:val="center"/>
        </w:trPr>
        <w:tc>
          <w:tcPr>
            <w:tcW w:w="4075" w:type="dxa"/>
            <w:gridSpan w:val="2"/>
            <w:tcBorders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FBEF1A" w14:textId="77777777" w:rsidR="00385B58" w:rsidRPr="00514A44" w:rsidRDefault="00385B58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107883" w14:textId="77777777" w:rsidR="00385B58" w:rsidRPr="00514A44" w:rsidRDefault="00385B58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B45D" w14:textId="77777777" w:rsidR="00385B58" w:rsidRPr="00514A44" w:rsidRDefault="00385B58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516D8" w14:textId="77777777" w:rsidR="00385B58" w:rsidRPr="00514A44" w:rsidRDefault="00385B58" w:rsidP="00CF1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BCE216" w14:textId="3AF455A7" w:rsidR="00385B58" w:rsidRPr="00514A44" w:rsidRDefault="00385B58" w:rsidP="00385B5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Cs/>
                <w:sz w:val="18"/>
                <w:szCs w:val="18"/>
              </w:rPr>
              <w:t>(u EUR)</w:t>
            </w:r>
          </w:p>
        </w:tc>
      </w:tr>
      <w:tr w:rsidR="00E2787E" w:rsidRPr="00514A44" w14:paraId="084ABB87" w14:textId="77777777" w:rsidTr="00E36D6B">
        <w:trPr>
          <w:trHeight w:val="571"/>
          <w:jc w:val="center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150F5" w14:textId="77777777" w:rsidR="00765E9D" w:rsidRPr="00CD4A6B" w:rsidRDefault="00765E9D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36753" w14:textId="77777777" w:rsidR="0073324B" w:rsidRPr="00CD4A6B" w:rsidRDefault="00765E9D" w:rsidP="0073324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Ostvarenje </w:t>
            </w:r>
          </w:p>
          <w:p w14:paraId="719C9269" w14:textId="66DBF08C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2023.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F014B6" w14:textId="77777777" w:rsidR="0073324B" w:rsidRPr="00CD4A6B" w:rsidRDefault="00765E9D" w:rsidP="0073324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Procjena</w:t>
            </w:r>
          </w:p>
          <w:p w14:paraId="6F0BFA07" w14:textId="1EA816E9" w:rsidR="00765E9D" w:rsidRPr="00CD4A6B" w:rsidRDefault="0073324B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 </w:t>
            </w:r>
            <w:r w:rsidR="00765E9D"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2024.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84423" w14:textId="77777777" w:rsidR="0073324B" w:rsidRPr="00CD4A6B" w:rsidRDefault="00765E9D" w:rsidP="0073324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Plan za </w:t>
            </w:r>
          </w:p>
          <w:p w14:paraId="1335F4DD" w14:textId="1346A4AD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2025.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52E15" w14:textId="77777777" w:rsidR="0073324B" w:rsidRPr="00CD4A6B" w:rsidRDefault="00765E9D" w:rsidP="0073324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Plan za </w:t>
            </w:r>
          </w:p>
          <w:p w14:paraId="17FF7BFC" w14:textId="24085582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2026.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FF10" w14:textId="77777777" w:rsidR="0073324B" w:rsidRPr="00CD4A6B" w:rsidRDefault="00765E9D" w:rsidP="0073324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Plan za </w:t>
            </w:r>
          </w:p>
          <w:p w14:paraId="3F4420C7" w14:textId="64880F62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2027.</w:t>
            </w:r>
          </w:p>
        </w:tc>
      </w:tr>
      <w:tr w:rsidR="00E2787E" w:rsidRPr="00514A44" w14:paraId="1B23C299" w14:textId="77777777" w:rsidTr="00E36D6B">
        <w:trPr>
          <w:trHeight w:val="49"/>
          <w:jc w:val="center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608DFC4" w14:textId="77777777" w:rsidR="00765E9D" w:rsidRPr="00CD4A6B" w:rsidRDefault="00765E9D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D11406" w14:textId="77777777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F9DD49" w14:textId="77777777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A08C54" w14:textId="77777777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343EDF" w14:textId="77777777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CB379" w14:textId="77777777" w:rsidR="00765E9D" w:rsidRPr="00CD4A6B" w:rsidRDefault="00765E9D" w:rsidP="00DA1E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</w:tr>
      <w:tr w:rsidR="00E36D6B" w:rsidRPr="00514A44" w14:paraId="558F4DDA" w14:textId="77777777" w:rsidTr="006752B8">
        <w:trPr>
          <w:trHeight w:val="81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258C" w14:textId="0C9067E9" w:rsidR="00CD1C01" w:rsidRPr="00CD4A6B" w:rsidRDefault="00D227A6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Prihodi od kamata po EKS-u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BC759" w14:textId="5914B188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94.628.985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B5748" w14:textId="31839946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119.072.000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B9CCC" w14:textId="7BA010A2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 xml:space="preserve">130.175.000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AF255" w14:textId="55E941DD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 xml:space="preserve">132.304.000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CF97DF" w14:textId="40889DA2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 xml:space="preserve">137.668.000 </w:t>
            </w:r>
          </w:p>
        </w:tc>
      </w:tr>
      <w:tr w:rsidR="00E36D6B" w:rsidRPr="00514A44" w14:paraId="053D4C16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A8506B" w14:textId="7B4AF023" w:rsidR="00CD1C01" w:rsidRPr="00CD4A6B" w:rsidRDefault="00CD1C01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Prihod od ukidanja razgraničenja subvencije na teret poslovanja HBOR-a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621F" w14:textId="0EFA5696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3131B" w14:textId="5C0EADBB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600.000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05D0A" w14:textId="21FDF1D2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 xml:space="preserve">1.000.000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DF8F6" w14:textId="173675E6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 xml:space="preserve">1.750.000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A4D547" w14:textId="5D148FBD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 xml:space="preserve">2.750.000 </w:t>
            </w:r>
          </w:p>
        </w:tc>
      </w:tr>
      <w:tr w:rsidR="00E36D6B" w:rsidRPr="00514A44" w14:paraId="44E7D763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78EE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Rashodi od kamata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15C7" w14:textId="4112D183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(28.270.801)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C731F" w14:textId="3F5599A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(49.717.000)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6ACE0" w14:textId="7C0DD695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(58.414.000)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F7D9" w14:textId="66EB65E9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(59.843.000)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FB1DF0" w14:textId="29D1D988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(61.554.000)</w:t>
            </w:r>
          </w:p>
        </w:tc>
      </w:tr>
      <w:tr w:rsidR="00E2787E" w:rsidRPr="00514A44" w14:paraId="21191F2C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D3ED632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Neto prihod od kamata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75CBDFF" w14:textId="5D5FB75A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66.358.184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BF1C071" w14:textId="626D0746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69.955.000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028B791" w14:textId="1C838994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72.761.000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15172DB7" w14:textId="13DCE126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74.211.000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35417882" w14:textId="48635160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78.864.000</w:t>
            </w:r>
          </w:p>
        </w:tc>
      </w:tr>
      <w:tr w:rsidR="00E36D6B" w:rsidRPr="00514A44" w14:paraId="108DC8C0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CD95A7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83B07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4771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B0128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830CC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44F713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E36D6B" w:rsidRPr="00514A44" w14:paraId="784F98E3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30AA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Prihodi od naknada i provizija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8AAE5" w14:textId="68D3DC24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3.806.329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0BB81" w14:textId="04B6894B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2.913.000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6266E" w14:textId="2F05B0F4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8.960.000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D06BA" w14:textId="6A65A581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12.744.000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47F353" w14:textId="4523BA55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11.719.000</w:t>
            </w:r>
          </w:p>
        </w:tc>
      </w:tr>
      <w:tr w:rsidR="00E36D6B" w:rsidRPr="00514A44" w14:paraId="604B6973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93E18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Rashodi od naknada i provizija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09CD" w14:textId="649A682C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(765.127)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CA93" w14:textId="5BD51EEC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(1.099.000)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95945" w14:textId="755CE73E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(1.479.000)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2ADB1" w14:textId="0EDCF6A0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(1.350.000)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5E426F" w14:textId="3B473385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(1.300.000)</w:t>
            </w:r>
          </w:p>
        </w:tc>
      </w:tr>
      <w:tr w:rsidR="00E2787E" w:rsidRPr="00514A44" w14:paraId="1D79BB3A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8193B25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Neto prihod od naknada i provizija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B2B9675" w14:textId="7E32849C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3.041.202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237FE8B" w14:textId="3A8C4981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1.814.000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6DB1BA7" w14:textId="095744C2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7.481.000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1EC089D2" w14:textId="26A9F82C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11.394.000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5B7400F3" w14:textId="6BEA680F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10.419.000</w:t>
            </w:r>
          </w:p>
        </w:tc>
      </w:tr>
      <w:tr w:rsidR="00E36D6B" w:rsidRPr="00514A44" w14:paraId="5DB301FD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10726A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AECBF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50E0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FCB10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E308F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498848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E36D6B" w:rsidRPr="00514A44" w14:paraId="117D96CE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040AB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Neto prihodi/(rashodi) od financijskih aktivnosti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8390B" w14:textId="3DE4CFFE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1.739.706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155BA" w14:textId="0352615D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1.200.000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7F524" w14:textId="03C43955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442FE" w14:textId="547B2DD9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1ADDBD" w14:textId="3CEC55DC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E36D6B" w:rsidRPr="00514A44" w14:paraId="20FC7FEF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1CE7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Ostali prihodi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8E952" w14:textId="3532B12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2.139.953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BAF39" w14:textId="753C6243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2.499.000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4B76C" w14:textId="2757E40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2.486.000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D99E1" w14:textId="05F6F892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2.518.000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C53005" w14:textId="151EC5DC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2.551.000</w:t>
            </w:r>
          </w:p>
        </w:tc>
      </w:tr>
      <w:tr w:rsidR="00E36D6B" w:rsidRPr="00514A44" w14:paraId="2AA48FA9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AA3A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E312" w14:textId="19C29CA5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73.279.045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FE003" w14:textId="55231E45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75.468.000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194A5" w14:textId="294035CD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82.728.000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034CA" w14:textId="5811C762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88.123.000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9601B9" w14:textId="148CB37B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91.834.000</w:t>
            </w:r>
          </w:p>
        </w:tc>
      </w:tr>
      <w:tr w:rsidR="00E36D6B" w:rsidRPr="00514A44" w14:paraId="5AC2E5C6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280BDB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5A5B9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3859F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EC600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EC418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59B3F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E36D6B" w:rsidRPr="00514A44" w14:paraId="48D1D97D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C9BB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Operativni troškovi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224E3" w14:textId="38AFCAC5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(26.043.456)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E0FBF" w14:textId="76137652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(29.055.000)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5F139" w14:textId="77DB9981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(34.878.000)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3E6AF" w14:textId="5C4BC5A6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(35.182.000)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A58C48" w14:textId="62AF3E90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(35.880.000)</w:t>
            </w:r>
          </w:p>
        </w:tc>
      </w:tr>
      <w:tr w:rsidR="00E36D6B" w:rsidRPr="00514A44" w14:paraId="36E91D5E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7E2E" w14:textId="3F633766" w:rsidR="00CD1C01" w:rsidRPr="00CD4A6B" w:rsidRDefault="008F3774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Dobit / (</w:t>
            </w:r>
            <w:r w:rsidR="000F471A">
              <w:rPr>
                <w:rFonts w:eastAsia="Times New Roman" w:cs="Arial"/>
                <w:sz w:val="17"/>
                <w:szCs w:val="17"/>
              </w:rPr>
              <w:t>G</w:t>
            </w:r>
            <w:r w:rsidRPr="00CD4A6B">
              <w:rPr>
                <w:rFonts w:eastAsia="Times New Roman" w:cs="Arial"/>
                <w:sz w:val="17"/>
                <w:szCs w:val="17"/>
              </w:rPr>
              <w:t>ubitak)</w:t>
            </w:r>
            <w:r w:rsidR="00CD1C01" w:rsidRPr="00CD4A6B">
              <w:rPr>
                <w:rFonts w:eastAsia="Times New Roman" w:cs="Arial"/>
                <w:sz w:val="17"/>
                <w:szCs w:val="17"/>
              </w:rPr>
              <w:t xml:space="preserve"> od umanjenja vrijednosti i rezerviranja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400A" w14:textId="6915EF86" w:rsidR="00CD1C01" w:rsidRPr="00CD4A6B" w:rsidRDefault="004D7624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(15.917.560)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1A4C8" w14:textId="6E6172B0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500.000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3D771" w14:textId="30B76AF6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11.157.000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CF174" w14:textId="5976C25D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8.872.000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37BC17" w14:textId="385B79D5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632.000</w:t>
            </w:r>
          </w:p>
        </w:tc>
      </w:tr>
      <w:tr w:rsidR="00E36D6B" w:rsidRPr="00514A44" w14:paraId="75DF67D0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CD774D" w14:textId="7C539F0F" w:rsidR="00CD1C01" w:rsidRPr="00CD4A6B" w:rsidRDefault="00CD1C01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Trošak subvencije na teret poslovanja HBOR-a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5E7F2" w14:textId="55A820C5" w:rsidR="00CD1C01" w:rsidRPr="00CD4A6B" w:rsidRDefault="004D7624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(1.475.594)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0151F" w14:textId="4130CA0B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(7.500.000)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3295F" w14:textId="73AB981A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(15.000.000)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6F7D4" w14:textId="10EE4D52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(15.000.000)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7E6371" w14:textId="39F39252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(15.000.000)</w:t>
            </w:r>
          </w:p>
        </w:tc>
      </w:tr>
      <w:tr w:rsidR="00E36D6B" w:rsidRPr="00514A44" w14:paraId="47B2EE79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88115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600B6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1671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7FD1F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679A2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6520EE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E2787E" w:rsidRPr="00514A44" w14:paraId="741A24F2" w14:textId="77777777" w:rsidTr="006752B8">
        <w:trPr>
          <w:trHeight w:val="320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6736C8D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Dobit prije oporezivanja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D6F8DB4" w14:textId="54F920F8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29.842.435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B9BE665" w14:textId="6F2CE0CB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39.413.000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67FD369" w14:textId="6BF8DCC6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44.007.000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0DE5A5B" w14:textId="2D7F73DE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46.813.000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7D3D2E85" w14:textId="36F0F3C8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41.586.000</w:t>
            </w:r>
          </w:p>
        </w:tc>
      </w:tr>
      <w:tr w:rsidR="00E2787E" w:rsidRPr="00514A44" w14:paraId="012FDDE8" w14:textId="77777777" w:rsidTr="006752B8">
        <w:trPr>
          <w:trHeight w:val="80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4FC119" w14:textId="77777777" w:rsidR="00E2787E" w:rsidRPr="00E36D6B" w:rsidRDefault="00E2787E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FD817" w14:textId="77777777" w:rsidR="00E2787E" w:rsidRPr="00E36D6B" w:rsidRDefault="00E2787E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1B56F" w14:textId="77777777" w:rsidR="00E2787E" w:rsidRPr="00E36D6B" w:rsidRDefault="00E2787E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A3D50" w14:textId="77777777" w:rsidR="00E2787E" w:rsidRPr="00E36D6B" w:rsidRDefault="00E2787E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F05AB" w14:textId="77777777" w:rsidR="00E2787E" w:rsidRPr="00E36D6B" w:rsidRDefault="00E2787E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F968A2" w14:textId="77777777" w:rsidR="00E2787E" w:rsidRPr="00E36D6B" w:rsidRDefault="00E2787E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36D6B" w:rsidRPr="00514A44" w14:paraId="3A65C4F0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85785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Porez na dobit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1732C" w14:textId="746CDDF0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C4C75" w14:textId="6D31E27D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E50E6" w14:textId="25569281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244EC" w14:textId="63587B1E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6AE281" w14:textId="1B9FB16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E36D6B" w:rsidRPr="00514A44" w14:paraId="5541BE80" w14:textId="77777777" w:rsidTr="006752B8">
        <w:trPr>
          <w:trHeight w:val="80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40FB0F" w14:textId="77777777" w:rsidR="00765E9D" w:rsidRPr="00E36D6B" w:rsidRDefault="00765E9D" w:rsidP="006752B8">
            <w:pPr>
              <w:spacing w:after="0" w:line="240" w:lineRule="auto"/>
              <w:rPr>
                <w:rFonts w:eastAsia="Times New Roman" w:cs="Arial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BA6FD" w14:textId="77777777" w:rsidR="00765E9D" w:rsidRPr="00E36D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201B8" w14:textId="77777777" w:rsidR="00765E9D" w:rsidRPr="00E36D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2B806" w14:textId="77777777" w:rsidR="00765E9D" w:rsidRPr="00E36D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A88F5" w14:textId="77777777" w:rsidR="00765E9D" w:rsidRPr="00E36D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35037B" w14:textId="77777777" w:rsidR="00765E9D" w:rsidRPr="00E36D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E2787E" w:rsidRPr="00514A44" w14:paraId="6315B9CC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63625A4" w14:textId="77777777" w:rsidR="00CD1C01" w:rsidRPr="00CD4A6B" w:rsidRDefault="00CD1C01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Ukupan prihod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C4FAE2E" w14:textId="56277FC0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102.314.973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27D9EA5D" w14:textId="285DB713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126.784.000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2A4C6774" w14:textId="2E450D73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     153.778.000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0298EDA" w14:textId="2A21BB70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      158.188.000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655A267F" w14:textId="6B20762D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      155.320.000 </w:t>
            </w:r>
          </w:p>
        </w:tc>
      </w:tr>
      <w:tr w:rsidR="00E2787E" w:rsidRPr="00514A44" w14:paraId="52E09E5A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385B780" w14:textId="77777777" w:rsidR="00CD1C01" w:rsidRPr="00CD4A6B" w:rsidRDefault="00CD1C01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Ukupan rashod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EAAD3C2" w14:textId="6C903BA1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(72.472.538)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A8A8561" w14:textId="71FB1118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(87.371.000)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0AAB14D0" w14:textId="47CBC71F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(109.771.000)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04A1E77" w14:textId="6FA2BE69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(111.375.000)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DCE4"/>
            <w:vAlign w:val="bottom"/>
          </w:tcPr>
          <w:p w14:paraId="167FB032" w14:textId="516FAD4B" w:rsidR="00CD1C01" w:rsidRPr="00CD4A6B" w:rsidRDefault="00CD1C01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(113.734.000) </w:t>
            </w:r>
          </w:p>
        </w:tc>
      </w:tr>
      <w:tr w:rsidR="00E36D6B" w:rsidRPr="00514A44" w14:paraId="50471581" w14:textId="77777777" w:rsidTr="006752B8">
        <w:trPr>
          <w:trHeight w:val="244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7CBF9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18EEEA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vAlign w:val="bottom"/>
          </w:tcPr>
          <w:p w14:paraId="20927C0C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01F290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C36172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7E11CD" w14:textId="77777777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E2787E" w:rsidRPr="007B4845" w14:paraId="6E671A7A" w14:textId="77777777" w:rsidTr="006752B8">
        <w:trPr>
          <w:trHeight w:val="337"/>
          <w:jc w:val="center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5210E6C8" w14:textId="77777777" w:rsidR="00765E9D" w:rsidRPr="00CD4A6B" w:rsidRDefault="00765E9D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Dobit tekućeg razdoblja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5662EB86" w14:textId="5432726B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29.842.435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2BF268A5" w14:textId="258798D6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39.413.000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191B57B9" w14:textId="1BECB048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44.007.000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49011099" w14:textId="119BE0D6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46.813.000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48E6A6DB" w14:textId="6D4977FD" w:rsidR="00765E9D" w:rsidRPr="00CD4A6B" w:rsidRDefault="00765E9D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41.586.000</w:t>
            </w:r>
          </w:p>
        </w:tc>
      </w:tr>
    </w:tbl>
    <w:p w14:paraId="0282C8DA" w14:textId="77777777" w:rsidR="001B0DA3" w:rsidRDefault="001B0DA3" w:rsidP="009452E1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</w:p>
    <w:p w14:paraId="276BCCE3" w14:textId="77777777" w:rsidR="00CD4A6B" w:rsidRDefault="00CD4A6B" w:rsidP="009452E1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sz w:val="16"/>
          <w:szCs w:val="16"/>
        </w:rPr>
      </w:pPr>
    </w:p>
    <w:p w14:paraId="1372C6EE" w14:textId="77777777" w:rsidR="00CD4A6B" w:rsidRDefault="00CD4A6B" w:rsidP="00530A6E">
      <w:pPr>
        <w:pStyle w:val="ListParagraph"/>
        <w:tabs>
          <w:tab w:val="left" w:pos="-720"/>
          <w:tab w:val="left" w:pos="709"/>
        </w:tabs>
        <w:suppressAutoHyphens/>
        <w:spacing w:after="0" w:line="240" w:lineRule="auto"/>
        <w:ind w:left="709" w:hanging="425"/>
        <w:jc w:val="both"/>
        <w:rPr>
          <w:rFonts w:eastAsia="Times New Roman" w:cs="Arial"/>
          <w:b/>
          <w:bCs/>
          <w:sz w:val="20"/>
        </w:rPr>
        <w:sectPr w:rsidR="00CD4A6B" w:rsidSect="00E8484F"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CA59D57" w14:textId="77777777" w:rsidR="00765E9D" w:rsidRDefault="00765E9D" w:rsidP="00530A6E">
      <w:pPr>
        <w:pStyle w:val="ListParagraph"/>
        <w:tabs>
          <w:tab w:val="left" w:pos="-720"/>
          <w:tab w:val="left" w:pos="709"/>
        </w:tabs>
        <w:suppressAutoHyphens/>
        <w:spacing w:after="0" w:line="240" w:lineRule="auto"/>
        <w:ind w:left="709" w:hanging="425"/>
        <w:jc w:val="both"/>
        <w:rPr>
          <w:rFonts w:eastAsia="Times New Roman" w:cs="Arial"/>
          <w:b/>
          <w:bCs/>
          <w:sz w:val="20"/>
        </w:rPr>
      </w:pPr>
    </w:p>
    <w:p w14:paraId="4BBB4ACA" w14:textId="4EC59205" w:rsidR="009452E1" w:rsidRDefault="009452E1" w:rsidP="00832DC8">
      <w:pPr>
        <w:pStyle w:val="ListParagraph"/>
        <w:numPr>
          <w:ilvl w:val="0"/>
          <w:numId w:val="51"/>
        </w:numPr>
        <w:tabs>
          <w:tab w:val="left" w:pos="-720"/>
          <w:tab w:val="left" w:pos="0"/>
          <w:tab w:val="left" w:pos="993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t>Plan Izvještaja o Financijskom položaju HBOR-a na dan 31.12.:</w:t>
      </w:r>
    </w:p>
    <w:p w14:paraId="20697088" w14:textId="77777777" w:rsidR="00CD4A6B" w:rsidRPr="005504D6" w:rsidRDefault="00CD4A6B" w:rsidP="00CD4A6B">
      <w:pPr>
        <w:pStyle w:val="ListParagraph"/>
        <w:tabs>
          <w:tab w:val="left" w:pos="-720"/>
          <w:tab w:val="left" w:pos="0"/>
          <w:tab w:val="left" w:pos="993"/>
        </w:tabs>
        <w:suppressAutoHyphens/>
        <w:spacing w:after="0" w:line="240" w:lineRule="auto"/>
        <w:ind w:left="644"/>
        <w:jc w:val="both"/>
        <w:rPr>
          <w:rFonts w:eastAsia="Times New Roman" w:cs="Arial"/>
          <w:b/>
          <w:bCs/>
          <w:sz w:val="20"/>
        </w:rPr>
      </w:pPr>
    </w:p>
    <w:p w14:paraId="6B31117B" w14:textId="77777777" w:rsidR="00A3357C" w:rsidRPr="009452E1" w:rsidRDefault="00A3357C" w:rsidP="00982517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  <w:highlight w:val="yellow"/>
        </w:rPr>
      </w:pPr>
    </w:p>
    <w:tbl>
      <w:tblPr>
        <w:tblW w:w="11101" w:type="dxa"/>
        <w:jc w:val="center"/>
        <w:tblLayout w:type="fixed"/>
        <w:tblLook w:val="04A0" w:firstRow="1" w:lastRow="0" w:firstColumn="1" w:lastColumn="0" w:noHBand="0" w:noVBand="1"/>
      </w:tblPr>
      <w:tblGrid>
        <w:gridCol w:w="3884"/>
        <w:gridCol w:w="1618"/>
        <w:gridCol w:w="53"/>
        <w:gridCol w:w="1369"/>
        <w:gridCol w:w="14"/>
        <w:gridCol w:w="1383"/>
        <w:gridCol w:w="25"/>
        <w:gridCol w:w="1320"/>
        <w:gridCol w:w="38"/>
        <w:gridCol w:w="1397"/>
      </w:tblGrid>
      <w:tr w:rsidR="00832DC8" w:rsidRPr="00514A44" w14:paraId="30C4A596" w14:textId="77777777" w:rsidTr="005964A8">
        <w:trPr>
          <w:trHeight w:val="113"/>
          <w:jc w:val="center"/>
        </w:trPr>
        <w:tc>
          <w:tcPr>
            <w:tcW w:w="11101" w:type="dxa"/>
            <w:gridSpan w:val="10"/>
            <w:tcBorders>
              <w:bottom w:val="nil"/>
            </w:tcBorders>
            <w:shd w:val="clear" w:color="000000" w:fill="FFFFFF"/>
            <w:vAlign w:val="bottom"/>
          </w:tcPr>
          <w:p w14:paraId="219A44B6" w14:textId="77777777" w:rsidR="00832DC8" w:rsidRDefault="00832DC8" w:rsidP="00832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 xml:space="preserve">IZVJEŠTAJ O FINANCIJSKOM POLOŽAJU </w:t>
            </w:r>
          </w:p>
          <w:p w14:paraId="6DC0E60C" w14:textId="77777777" w:rsidR="00832DC8" w:rsidRDefault="00832DC8" w:rsidP="00832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SA STANJEM NA 31.12.</w:t>
            </w:r>
          </w:p>
          <w:p w14:paraId="2D6C59FA" w14:textId="4B1C8EAC" w:rsidR="00832DC8" w:rsidRPr="00514A44" w:rsidRDefault="00832DC8" w:rsidP="00832D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CD4A6B" w:rsidRPr="00514A44" w14:paraId="6D48FFFF" w14:textId="77777777" w:rsidTr="00832DC8">
        <w:trPr>
          <w:trHeight w:val="130"/>
          <w:jc w:val="center"/>
        </w:trPr>
        <w:tc>
          <w:tcPr>
            <w:tcW w:w="55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113633" w14:textId="77777777" w:rsidR="00FE3669" w:rsidRPr="00514A44" w:rsidRDefault="00FE3669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8F9AD" w14:textId="77777777" w:rsidR="00FE3669" w:rsidRPr="00514A44" w:rsidRDefault="00FE3669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E6F2FB3" w14:textId="77777777" w:rsidR="00FE3669" w:rsidRPr="00514A44" w:rsidRDefault="00FE3669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5CC4D" w14:textId="77777777" w:rsidR="00FE3669" w:rsidRPr="00514A44" w:rsidRDefault="00FE3669" w:rsidP="009452E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3EC31" w14:textId="0BA0DA33" w:rsidR="00FE3669" w:rsidRPr="00B94415" w:rsidRDefault="00FE3669" w:rsidP="009452E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B94415">
              <w:rPr>
                <w:rFonts w:eastAsia="Times New Roman" w:cs="Arial"/>
                <w:sz w:val="16"/>
                <w:szCs w:val="16"/>
              </w:rPr>
              <w:t xml:space="preserve"> (u EUR)</w:t>
            </w:r>
          </w:p>
        </w:tc>
      </w:tr>
      <w:tr w:rsidR="00CD4A6B" w:rsidRPr="00CD4A6B" w14:paraId="58295720" w14:textId="77777777" w:rsidTr="00832DC8">
        <w:trPr>
          <w:trHeight w:val="46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1BE91" w14:textId="77777777" w:rsidR="00FE3669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36CDB" w14:textId="77777777" w:rsidR="0073324B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Ostvarenje</w:t>
            </w:r>
          </w:p>
          <w:p w14:paraId="2879A15A" w14:textId="15685361" w:rsidR="00FE3669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 2023.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2FD4E2" w14:textId="77777777" w:rsidR="00FE3669" w:rsidRPr="00CD4A6B" w:rsidRDefault="00FE3669" w:rsidP="00DC21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Procjena</w:t>
            </w:r>
          </w:p>
          <w:p w14:paraId="0F06BE1E" w14:textId="06DA883B" w:rsidR="00FE3669" w:rsidRPr="00CD4A6B" w:rsidRDefault="00FE3669" w:rsidP="00AD40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34F60" w14:textId="77777777" w:rsidR="0073324B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Plan za </w:t>
            </w:r>
          </w:p>
          <w:p w14:paraId="06A808EE" w14:textId="43200D19" w:rsidR="00FE3669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2025.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562F8" w14:textId="77777777" w:rsidR="0073324B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Plan za</w:t>
            </w:r>
          </w:p>
          <w:p w14:paraId="776B452F" w14:textId="05A4E72D" w:rsidR="00FE3669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 2026.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5115" w14:textId="77777777" w:rsidR="0073324B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 xml:space="preserve">Plan za </w:t>
            </w:r>
          </w:p>
          <w:p w14:paraId="694A1B27" w14:textId="03760A49" w:rsidR="00FE3669" w:rsidRPr="00CD4A6B" w:rsidRDefault="00FE3669" w:rsidP="004277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2027.</w:t>
            </w:r>
          </w:p>
        </w:tc>
      </w:tr>
      <w:tr w:rsidR="00CD4A6B" w:rsidRPr="00CD4A6B" w14:paraId="41FE76D5" w14:textId="77777777" w:rsidTr="00832DC8">
        <w:trPr>
          <w:trHeight w:val="302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4546A"/>
            <w:vAlign w:val="center"/>
            <w:hideMark/>
          </w:tcPr>
          <w:p w14:paraId="45005B23" w14:textId="4D7FD1BC" w:rsidR="00FE3669" w:rsidRPr="00CD4A6B" w:rsidRDefault="00FE3669" w:rsidP="00832DC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I</w:t>
            </w:r>
            <w:r w:rsidR="00832DC8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movina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78534661" w14:textId="77777777" w:rsidR="00FE3669" w:rsidRPr="00CD4A6B" w:rsidRDefault="00FE3669" w:rsidP="00CF135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/>
            <w:vAlign w:val="bottom"/>
          </w:tcPr>
          <w:p w14:paraId="2DBFFE1C" w14:textId="77777777" w:rsidR="00FE3669" w:rsidRPr="00CD4A6B" w:rsidRDefault="00FE3669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240611DE" w14:textId="77777777" w:rsidR="00FE3669" w:rsidRPr="00CD4A6B" w:rsidRDefault="00FE3669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17E83ADB" w14:textId="77777777" w:rsidR="00FE3669" w:rsidRPr="00CD4A6B" w:rsidRDefault="00FE3669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4326A8CB" w14:textId="77777777" w:rsidR="00FE3669" w:rsidRPr="00CD4A6B" w:rsidRDefault="00FE3669" w:rsidP="00CF135F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</w:tr>
      <w:tr w:rsidR="00CD4A6B" w:rsidRPr="00CD4A6B" w14:paraId="7C57B227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9E7F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eastAsia="Times New Roman" w:cs="Arial"/>
                <w:color w:val="000000"/>
                <w:sz w:val="17"/>
                <w:szCs w:val="17"/>
              </w:rPr>
              <w:t>Novčana sredstva i računi kod banaka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C8F2" w14:textId="58210EEF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41.543.345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EB831" w14:textId="43B584C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50.025.000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37033" w14:textId="3C554F6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50.937.000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2BAC" w14:textId="0281695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42.086.000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227A" w14:textId="409529D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32.139.000</w:t>
            </w:r>
          </w:p>
        </w:tc>
      </w:tr>
      <w:tr w:rsidR="00CD4A6B" w:rsidRPr="00CD4A6B" w14:paraId="4A0704AC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A8165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Depoziti kod drugih banaka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6BA0" w14:textId="0DDD1EA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69.455.436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5C09A" w14:textId="0819536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180.228.000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B3E9" w14:textId="16EEB1F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154.515.000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0B754" w14:textId="3A32D2CC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117.379.000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883" w14:textId="4DE45E51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76.048.000</w:t>
            </w:r>
          </w:p>
        </w:tc>
      </w:tr>
      <w:tr w:rsidR="00CD4A6B" w:rsidRPr="00CD4A6B" w14:paraId="0980A530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B18F9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Krediti financijskim institucijama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6E43" w14:textId="36A9D12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1.248.881.342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9E5DF" w14:textId="17C561A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1.367.448.000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F57EF" w14:textId="24127008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1.518.153.000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4E22" w14:textId="00CEC44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1.593.052.000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2DD2" w14:textId="43A315C4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1.644.467.000</w:t>
            </w:r>
          </w:p>
        </w:tc>
      </w:tr>
      <w:tr w:rsidR="00CD4A6B" w:rsidRPr="00CD4A6B" w14:paraId="2E9FEDEF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DD3D1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Krediti ostalim korisnicima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AEA9" w14:textId="706B18B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2.351.196.051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67391" w14:textId="27CE1EF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2.329.054.000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5EF26" w14:textId="302BA99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2.289.399.000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4580C" w14:textId="3748D89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2.341.208.000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42BCFE" w14:textId="20CE073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2.447.354.000</w:t>
            </w:r>
          </w:p>
        </w:tc>
      </w:tr>
      <w:tr w:rsidR="00CD4A6B" w:rsidRPr="00CD4A6B" w14:paraId="0E063D73" w14:textId="77777777" w:rsidTr="006752B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7BFFE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Financijska imovina po fer vrijednosti kroz dobit ili gubitak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6AB5" w14:textId="0482CD74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52.921.949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383FC" w14:textId="7881947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76.893.000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231F" w14:textId="3B4B56CB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85.501.000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E3C19" w14:textId="3EB20CA9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58.620.000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4AC5" w14:textId="44FE80D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60.728.000</w:t>
            </w:r>
          </w:p>
        </w:tc>
      </w:tr>
      <w:tr w:rsidR="00CD4A6B" w:rsidRPr="00CD4A6B" w14:paraId="0E552E76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00B98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Financijska imovina po fer vrijednosti kroz OSD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2AD64" w14:textId="7B755F61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228.857.658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28A9A" w14:textId="7EB6FFB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245.615.000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F9FD" w14:textId="3C03BC4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243.453.000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5C7E" w14:textId="68A1709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243.494.000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11BC" w14:textId="24A59D29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242.834.000</w:t>
            </w:r>
          </w:p>
        </w:tc>
      </w:tr>
      <w:tr w:rsidR="00CD4A6B" w:rsidRPr="00CD4A6B" w14:paraId="21F1595B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55FC8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Ulaganja u ovisna društva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660B" w14:textId="0007148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7.448.878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1A8BC" w14:textId="7D3AE081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7.449.000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66A5" w14:textId="33EA6669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7.449.000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A993" w14:textId="1C139758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7.449.000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39E1" w14:textId="77615E1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7.449.000</w:t>
            </w:r>
          </w:p>
        </w:tc>
      </w:tr>
      <w:tr w:rsidR="00CD4A6B" w:rsidRPr="00CD4A6B" w14:paraId="7ED560CB" w14:textId="77777777" w:rsidTr="006752B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0705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Nekretnine, postrojenja i oprema i nematerijalna imovina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D79D" w14:textId="692AD78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4.722.780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6A4EF" w14:textId="79669B58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13.060.000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BBB3" w14:textId="5330E2C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19.305.000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BFFB" w14:textId="48BCA92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18.413.000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6FC" w14:textId="0DE226C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16.882.000</w:t>
            </w:r>
          </w:p>
        </w:tc>
      </w:tr>
      <w:tr w:rsidR="00CD4A6B" w:rsidRPr="00CD4A6B" w14:paraId="28AFF2BA" w14:textId="77777777" w:rsidTr="006752B8">
        <w:trPr>
          <w:trHeight w:val="265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426E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Preuzeta imovina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0D8E" w14:textId="53A45FA1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2.290.844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CC598" w14:textId="5ABC1DDC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1.785.000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87DA" w14:textId="7BA2CEA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1.544.000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8F5D" w14:textId="3758CF5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1.279.000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9C1B" w14:textId="19F10FCF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837.000</w:t>
            </w:r>
          </w:p>
        </w:tc>
      </w:tr>
      <w:tr w:rsidR="00CD4A6B" w:rsidRPr="00CD4A6B" w14:paraId="0728757C" w14:textId="77777777" w:rsidTr="006752B8">
        <w:trPr>
          <w:trHeight w:val="265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8F2F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Ostala imovina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3B0D7" w14:textId="3D9144A9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11.365.414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3E95E" w14:textId="744393B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5.015.000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011BE" w14:textId="7A0B50A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5.014.000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92D2" w14:textId="1EF90EF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5.014.000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523D" w14:textId="6DE5AE98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5.013.000</w:t>
            </w:r>
          </w:p>
        </w:tc>
      </w:tr>
      <w:tr w:rsidR="00CD4A6B" w:rsidRPr="00CD4A6B" w14:paraId="19698767" w14:textId="77777777" w:rsidTr="006752B8">
        <w:trPr>
          <w:trHeight w:val="265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62FBFEF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sz w:val="17"/>
                <w:szCs w:val="17"/>
              </w:rPr>
              <w:t>Ukupna imovina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7EE6C314" w14:textId="3A4CD5F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4.018.683.697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5D6C143" w14:textId="36CE5FA2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4.276.572.000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B8A7A1C" w14:textId="27F0C56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4.375.270.000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A7B626F" w14:textId="16F51CB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4.427.994.000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A7C0348" w14:textId="50FBBF74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4.533.751.000</w:t>
            </w:r>
          </w:p>
        </w:tc>
      </w:tr>
      <w:tr w:rsidR="00832DC8" w:rsidRPr="00CD4A6B" w14:paraId="0D7B50D6" w14:textId="77777777" w:rsidTr="006752B8">
        <w:trPr>
          <w:trHeight w:val="265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684FB1" w14:textId="77777777" w:rsidR="00832DC8" w:rsidRPr="00CD4A6B" w:rsidRDefault="00832DC8" w:rsidP="006752B8">
            <w:pPr>
              <w:spacing w:after="0" w:line="240" w:lineRule="auto"/>
              <w:rPr>
                <w:rFonts w:eastAsia="Times New Roman" w:cs="Arial"/>
                <w:b/>
                <w:sz w:val="17"/>
                <w:szCs w:val="17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2B92" w14:textId="77777777" w:rsidR="00832DC8" w:rsidRPr="00CD4A6B" w:rsidRDefault="00832DC8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23397" w14:textId="77777777" w:rsidR="00832DC8" w:rsidRPr="00CD4A6B" w:rsidRDefault="00832DC8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2007F" w14:textId="77777777" w:rsidR="00832DC8" w:rsidRPr="00CD4A6B" w:rsidRDefault="00832DC8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DD68" w14:textId="77777777" w:rsidR="00832DC8" w:rsidRPr="00CD4A6B" w:rsidRDefault="00832DC8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AD61" w14:textId="77777777" w:rsidR="00832DC8" w:rsidRPr="00CD4A6B" w:rsidRDefault="00832DC8" w:rsidP="006752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D4A6B" w:rsidRPr="00CD4A6B" w14:paraId="1F79A1E1" w14:textId="77777777" w:rsidTr="006752B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007C2BE0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Obveze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7AA47BA0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vAlign w:val="bottom"/>
          </w:tcPr>
          <w:p w14:paraId="13279F11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1DFE988D" w14:textId="3FDBC3E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4B2F1265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67E176DE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CD4A6B" w:rsidRPr="00CD4A6B" w14:paraId="209C6BF9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079D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Obveze po depozitima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ECB3F" w14:textId="22CFD35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194.875.629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801A2" w14:textId="73ED2802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299.709.000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D5B8" w14:textId="3AA84CF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333.407.000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E656" w14:textId="77F710C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351.016.000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39B3" w14:textId="4E015C8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371.801.000</w:t>
            </w:r>
          </w:p>
        </w:tc>
      </w:tr>
      <w:tr w:rsidR="00CD4A6B" w:rsidRPr="00CD4A6B" w14:paraId="1B6EB7A5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6E03D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Obveze po kreditima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4976" w14:textId="7D059F4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2.251.175.924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C1AF8" w14:textId="3A006E8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2.353.584.000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27A2" w14:textId="393F8ED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2.356.722.000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15C07" w14:textId="22EE9E2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2.349.964.000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3AC7" w14:textId="24D5C59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2.403.940.000</w:t>
            </w:r>
          </w:p>
        </w:tc>
      </w:tr>
      <w:tr w:rsidR="00CD4A6B" w:rsidRPr="00CD4A6B" w14:paraId="5B3DB92C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850A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Ostale obveze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1AE46" w14:textId="2052276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115.109.239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78EC5" w14:textId="3856483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120.638.000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AEDC" w14:textId="28A53A6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133.492.000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62A14" w14:textId="5FC62EA1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123.552.000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1A5B" w14:textId="4B61FF19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107.962.000</w:t>
            </w:r>
          </w:p>
        </w:tc>
      </w:tr>
      <w:tr w:rsidR="00CD4A6B" w:rsidRPr="00CD4A6B" w14:paraId="7571BAB0" w14:textId="77777777" w:rsidTr="006752B8">
        <w:trPr>
          <w:trHeight w:val="247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9F5C2FF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sz w:val="17"/>
                <w:szCs w:val="17"/>
              </w:rPr>
              <w:t>Ukupne obveze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</w:tcPr>
          <w:p w14:paraId="71B6D66E" w14:textId="6D8C9B60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2.561.160.792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E4D21F7" w14:textId="7AEE41F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2.773.931.000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8E69F2B" w14:textId="36CB3C18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2.823.621.000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274FCEE" w14:textId="324B0F2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2.824.532.000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D17F4CD" w14:textId="353B9B4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2.883.703.000</w:t>
            </w:r>
          </w:p>
        </w:tc>
      </w:tr>
      <w:tr w:rsidR="00CD4A6B" w:rsidRPr="00CD4A6B" w14:paraId="31702279" w14:textId="77777777" w:rsidTr="006752B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2713D824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color w:val="FFFFFF"/>
                <w:sz w:val="17"/>
                <w:szCs w:val="17"/>
              </w:rPr>
              <w:t>Kapital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21ACB715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vAlign w:val="bottom"/>
          </w:tcPr>
          <w:p w14:paraId="79F85FF1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4680DFCC" w14:textId="11500E9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5916782A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4E0CC20B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D4A6B" w:rsidRPr="00CD4A6B" w14:paraId="725C542B" w14:textId="77777777" w:rsidTr="006752B8">
        <w:trPr>
          <w:trHeight w:val="249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74576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Osnivački kapital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59E2" w14:textId="29B5A23F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958.873.404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0FC62" w14:textId="726EDF0C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961.874.000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3943" w14:textId="16A68DC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966.874.000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877F" w14:textId="65A154C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971.874.000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E9E7" w14:textId="5D822B4C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976.874.000</w:t>
            </w:r>
          </w:p>
        </w:tc>
      </w:tr>
      <w:tr w:rsidR="00CD4A6B" w:rsidRPr="00CD4A6B" w14:paraId="14183135" w14:textId="77777777" w:rsidTr="006752B8">
        <w:trPr>
          <w:trHeight w:val="249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DEAB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Zadržana dobit i rezerve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4611" w14:textId="11FC452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468.113.474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0E600" w14:textId="7E94C13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497.955.000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1DA6" w14:textId="732D7B32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537.369.000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21A3C" w14:textId="3F67134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581.376.000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3ABA" w14:textId="7DFC835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628.189.000</w:t>
            </w:r>
          </w:p>
        </w:tc>
      </w:tr>
      <w:tr w:rsidR="00CD4A6B" w:rsidRPr="00CD4A6B" w14:paraId="16692A72" w14:textId="77777777" w:rsidTr="006752B8">
        <w:trPr>
          <w:trHeight w:val="249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48CDA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Ostale rezerve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FA41F" w14:textId="4F70CDCB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(943.807)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F5A7" w14:textId="6860DA8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1.762.000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34642" w14:textId="128DFC9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1.762.000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B43B7" w14:textId="171A3D2F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1.762.000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21B97E" w14:textId="66E549B8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1.762.000</w:t>
            </w:r>
          </w:p>
        </w:tc>
      </w:tr>
      <w:tr w:rsidR="00CD4A6B" w:rsidRPr="00CD4A6B" w14:paraId="33D0BAAB" w14:textId="77777777" w:rsidTr="006752B8">
        <w:trPr>
          <w:trHeight w:val="249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0F62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Dobit tekućeg razdoblja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3F55" w14:textId="26D4874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29.842.435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45E4C" w14:textId="06D3E4F1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39.413.000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1A95B" w14:textId="389B297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44.007.000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ACE44" w14:textId="26D1EC3F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46.813.000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E81B" w14:textId="4810047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41.586.000</w:t>
            </w:r>
          </w:p>
        </w:tc>
      </w:tr>
      <w:tr w:rsidR="00CD4A6B" w:rsidRPr="00CD4A6B" w14:paraId="6A86B82B" w14:textId="77777777" w:rsidTr="006752B8">
        <w:trPr>
          <w:trHeight w:val="249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95EF56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eastAsia="Times New Roman" w:cs="Arial"/>
                <w:sz w:val="17"/>
                <w:szCs w:val="17"/>
              </w:rPr>
              <w:t>Garantni fond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8CCA" w14:textId="3E5696CF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1.637.399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5F9F3" w14:textId="47B50494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1.637.000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D97C" w14:textId="4101578B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1.637.000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5843" w14:textId="68AB604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1.637.000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09F6" w14:textId="7009E26D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CD4A6B">
              <w:rPr>
                <w:rFonts w:cs="Arial"/>
                <w:color w:val="000000"/>
                <w:sz w:val="17"/>
                <w:szCs w:val="17"/>
              </w:rPr>
              <w:t>1.637.000</w:t>
            </w:r>
          </w:p>
        </w:tc>
      </w:tr>
      <w:tr w:rsidR="00CD4A6B" w:rsidRPr="00CD4A6B" w14:paraId="7277E6F1" w14:textId="77777777" w:rsidTr="006752B8">
        <w:trPr>
          <w:trHeight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D54391D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Ukupni kapital i rezerve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noWrap/>
            <w:vAlign w:val="bottom"/>
          </w:tcPr>
          <w:p w14:paraId="6B9A0CEC" w14:textId="2B08312B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1.457.522.905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14:paraId="0FEEA782" w14:textId="334893C1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1.502.641.000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9F3D915" w14:textId="248854FE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1.551.649.000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ADBB54C" w14:textId="0A68D695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1.603.462.000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9C70712" w14:textId="697FD716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1.650.048.000</w:t>
            </w:r>
          </w:p>
        </w:tc>
      </w:tr>
      <w:tr w:rsidR="00CD4A6B" w:rsidRPr="00CD4A6B" w14:paraId="32FF5F68" w14:textId="77777777" w:rsidTr="006752B8">
        <w:trPr>
          <w:trHeight w:hRule="exact" w:val="300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3AF6C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DD291F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7F982D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6910A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0710D0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CFC8" w14:textId="77777777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</w:tr>
      <w:tr w:rsidR="00CD4A6B" w:rsidRPr="00CD4A6B" w14:paraId="0123DA8A" w14:textId="77777777" w:rsidTr="006752B8">
        <w:trPr>
          <w:trHeight w:hRule="exact" w:val="305"/>
          <w:jc w:val="center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09FBE01E" w14:textId="77777777" w:rsidR="00FE3669" w:rsidRPr="00CD4A6B" w:rsidRDefault="00FE3669" w:rsidP="006752B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eastAsia="Times New Roman" w:cs="Arial"/>
                <w:b/>
                <w:bCs/>
                <w:sz w:val="17"/>
                <w:szCs w:val="17"/>
              </w:rPr>
              <w:t>Ukupne obveze i glavnica i rezerve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687643B8" w14:textId="3D030F1A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4.018.683.697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1C10CEA0" w14:textId="46672313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4.276.572.000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0E2FC851" w14:textId="5CC1B768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4.375.270.000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5A24839F" w14:textId="101AD0EF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4.427.994.000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vAlign w:val="bottom"/>
          </w:tcPr>
          <w:p w14:paraId="45DA4D71" w14:textId="51A28BFC" w:rsidR="00FE3669" w:rsidRPr="00CD4A6B" w:rsidRDefault="00FE3669" w:rsidP="006752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CD4A6B">
              <w:rPr>
                <w:rFonts w:cs="Arial"/>
                <w:b/>
                <w:bCs/>
                <w:color w:val="000000"/>
                <w:sz w:val="17"/>
                <w:szCs w:val="17"/>
              </w:rPr>
              <w:t>4.533.751.000</w:t>
            </w:r>
          </w:p>
        </w:tc>
      </w:tr>
    </w:tbl>
    <w:p w14:paraId="00F16884" w14:textId="77777777" w:rsidR="00FE3669" w:rsidRPr="00CD4A6B" w:rsidRDefault="00FE3669" w:rsidP="009C0CC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17"/>
          <w:szCs w:val="17"/>
        </w:rPr>
      </w:pPr>
    </w:p>
    <w:p w14:paraId="64626824" w14:textId="77777777" w:rsidR="00FE3669" w:rsidRDefault="00FE3669" w:rsidP="009C0CC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p w14:paraId="640191B0" w14:textId="77777777" w:rsidR="00CD4A6B" w:rsidRDefault="00CD4A6B" w:rsidP="009C0CC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p w14:paraId="280867E1" w14:textId="77777777" w:rsidR="00CD4A6B" w:rsidRDefault="00CD4A6B" w:rsidP="009C0CC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p w14:paraId="41F5F2DC" w14:textId="77777777" w:rsidR="00CD4A6B" w:rsidRDefault="00CD4A6B" w:rsidP="009C0CC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  <w:sectPr w:rsidR="00CD4A6B" w:rsidSect="00E8484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6470E59" w14:textId="77777777" w:rsidR="00FE3669" w:rsidRDefault="00FE3669" w:rsidP="009C0CC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p w14:paraId="01F4D52F" w14:textId="2BCCDDF3" w:rsidR="00CF3DA9" w:rsidRPr="00832DC8" w:rsidRDefault="00CF3DA9" w:rsidP="000F471A">
      <w:pPr>
        <w:pStyle w:val="ListParagraph"/>
        <w:numPr>
          <w:ilvl w:val="0"/>
          <w:numId w:val="51"/>
        </w:numPr>
        <w:tabs>
          <w:tab w:val="left" w:pos="-720"/>
          <w:tab w:val="left" w:pos="426"/>
        </w:tabs>
        <w:suppressAutoHyphens/>
        <w:spacing w:after="0" w:line="240" w:lineRule="auto"/>
        <w:ind w:hanging="644"/>
        <w:jc w:val="both"/>
        <w:rPr>
          <w:rFonts w:eastAsia="Times New Roman" w:cs="Arial"/>
          <w:b/>
          <w:bCs/>
          <w:sz w:val="20"/>
        </w:rPr>
      </w:pPr>
      <w:r w:rsidRPr="00832DC8">
        <w:rPr>
          <w:rFonts w:eastAsia="Times New Roman" w:cs="Arial"/>
          <w:b/>
          <w:bCs/>
          <w:sz w:val="20"/>
        </w:rPr>
        <w:t>Plan Izvještaja o novčanom toku na dan 31.12.:</w:t>
      </w:r>
    </w:p>
    <w:p w14:paraId="560C2AA5" w14:textId="77777777" w:rsidR="00832DC8" w:rsidRDefault="00832DC8" w:rsidP="00832D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644"/>
        <w:jc w:val="both"/>
        <w:rPr>
          <w:rFonts w:eastAsia="Times New Roman" w:cs="Arial"/>
          <w:b/>
          <w:bCs/>
          <w:sz w:val="20"/>
        </w:rPr>
      </w:pPr>
    </w:p>
    <w:p w14:paraId="4EA89DF1" w14:textId="77777777" w:rsidR="00832DC8" w:rsidRPr="00832DC8" w:rsidRDefault="00832DC8" w:rsidP="00832D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644"/>
        <w:jc w:val="both"/>
        <w:rPr>
          <w:rFonts w:eastAsia="Times New Roman" w:cs="Arial"/>
          <w:b/>
          <w:bCs/>
          <w:sz w:val="20"/>
        </w:rPr>
      </w:pPr>
    </w:p>
    <w:tbl>
      <w:tblPr>
        <w:tblW w:w="6172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867"/>
        <w:gridCol w:w="437"/>
        <w:gridCol w:w="1304"/>
        <w:gridCol w:w="305"/>
        <w:gridCol w:w="999"/>
        <w:gridCol w:w="138"/>
        <w:gridCol w:w="1166"/>
        <w:gridCol w:w="62"/>
        <w:gridCol w:w="1243"/>
      </w:tblGrid>
      <w:tr w:rsidR="00995AE4" w:rsidRPr="00514A44" w14:paraId="127A52DE" w14:textId="77777777" w:rsidTr="002518BB">
        <w:trPr>
          <w:trHeight w:val="203"/>
          <w:jc w:val="center"/>
        </w:trPr>
        <w:tc>
          <w:tcPr>
            <w:tcW w:w="11198" w:type="dxa"/>
            <w:gridSpan w:val="11"/>
            <w:tcBorders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30EC5" w14:textId="796FC8AC" w:rsidR="00D40DEE" w:rsidRPr="00832DC8" w:rsidRDefault="00D40DEE" w:rsidP="00D40D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32DC8">
              <w:rPr>
                <w:rFonts w:eastAsia="Times New Roman" w:cs="Arial"/>
                <w:b/>
                <w:bCs/>
                <w:sz w:val="18"/>
                <w:szCs w:val="18"/>
              </w:rPr>
              <w:t>IZVJEŠTAJ O NOVČANOM TOKU</w:t>
            </w:r>
          </w:p>
        </w:tc>
      </w:tr>
      <w:tr w:rsidR="00995AE4" w:rsidRPr="00514A44" w14:paraId="4FE64C3B" w14:textId="77777777" w:rsidTr="002518BB">
        <w:trPr>
          <w:trHeight w:val="63"/>
          <w:jc w:val="center"/>
        </w:trPr>
        <w:tc>
          <w:tcPr>
            <w:tcW w:w="11198" w:type="dxa"/>
            <w:gridSpan w:val="11"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66988" w14:textId="4FCE15F7" w:rsidR="00832DC8" w:rsidRPr="00832DC8" w:rsidRDefault="00C27A51" w:rsidP="00D40D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32DC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</w:t>
            </w:r>
            <w:r w:rsidR="00B20C33" w:rsidRPr="00832DC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a  razdoblje od 1. siječnja do 31. prosinca</w:t>
            </w:r>
          </w:p>
          <w:p w14:paraId="79C9DB12" w14:textId="35C01585" w:rsidR="00B20C33" w:rsidRPr="00832DC8" w:rsidRDefault="00B20C33" w:rsidP="00D40D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32DC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518BB" w:rsidRPr="00514A44" w14:paraId="2D36E403" w14:textId="77777777" w:rsidTr="002518BB">
        <w:trPr>
          <w:trHeight w:val="231"/>
          <w:jc w:val="center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F76FAF" w14:textId="77777777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5844213" w14:textId="77777777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E7A0E8" w14:textId="77777777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204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149B22" w14:textId="77777777" w:rsidR="00BA4E6F" w:rsidRPr="00514A44" w:rsidRDefault="00BA4E6F" w:rsidP="00832DC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91DAF" w14:textId="77777777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4AE65" w14:textId="77777777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934123" w14:textId="07504374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Cs/>
                <w:sz w:val="16"/>
                <w:szCs w:val="16"/>
              </w:rPr>
              <w:t>(u EUR)</w:t>
            </w:r>
          </w:p>
        </w:tc>
      </w:tr>
      <w:tr w:rsidR="002518BB" w:rsidRPr="00514A44" w14:paraId="2F0C6E5C" w14:textId="77777777" w:rsidTr="002518BB">
        <w:trPr>
          <w:trHeight w:val="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46EDD9" w14:textId="77777777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sz w:val="17"/>
                <w:szCs w:val="17"/>
              </w:rPr>
            </w:pPr>
            <w:r w:rsidRPr="00514A44">
              <w:rPr>
                <w:rFonts w:eastAsia="Times New Roman" w:cs="Arial"/>
                <w:sz w:val="17"/>
                <w:szCs w:val="17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A1F53B6" w14:textId="77777777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14A44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3FEC0" w14:textId="77777777" w:rsidR="007A7A45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Ostvarenje </w:t>
            </w:r>
          </w:p>
          <w:p w14:paraId="6530F367" w14:textId="581CD0D2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202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3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690B5" w14:textId="77777777" w:rsidR="00BA4E6F" w:rsidRPr="00514A44" w:rsidRDefault="00BA4E6F" w:rsidP="009A49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Procjena</w:t>
            </w:r>
          </w:p>
          <w:p w14:paraId="0B1A44E0" w14:textId="3CEEDC45" w:rsidR="00BA4E6F" w:rsidRPr="00514A44" w:rsidRDefault="00BA4E6F" w:rsidP="00AD402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202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4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A2114" w14:textId="77777777" w:rsidR="007A7A45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Plan za </w:t>
            </w:r>
          </w:p>
          <w:p w14:paraId="32E17E1B" w14:textId="0E8CB64B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202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5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6E3DC" w14:textId="77777777" w:rsidR="007A7A45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Plan za </w:t>
            </w:r>
          </w:p>
          <w:p w14:paraId="0FAFAECC" w14:textId="65471113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202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6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F2CA" w14:textId="77777777" w:rsidR="007A7A45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 xml:space="preserve">Plan za </w:t>
            </w:r>
          </w:p>
          <w:p w14:paraId="61D18B8B" w14:textId="488058F8" w:rsidR="00BA4E6F" w:rsidRPr="00514A44" w:rsidRDefault="00BA4E6F" w:rsidP="00480CD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202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7</w:t>
            </w:r>
            <w:r w:rsidRPr="00514A44">
              <w:rPr>
                <w:rFonts w:eastAsia="Times New Roman" w:cs="Arial"/>
                <w:b/>
                <w:bCs/>
                <w:sz w:val="16"/>
                <w:szCs w:val="16"/>
              </w:rPr>
              <w:t>.</w:t>
            </w:r>
          </w:p>
        </w:tc>
      </w:tr>
      <w:tr w:rsidR="00002F10" w:rsidRPr="00514A44" w14:paraId="11891D9F" w14:textId="77777777" w:rsidTr="00DD645E">
        <w:trPr>
          <w:trHeight w:val="217"/>
          <w:jc w:val="center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BFC2" w14:textId="03E02959" w:rsidR="00002F10" w:rsidRPr="00832DC8" w:rsidRDefault="00002F10" w:rsidP="002518BB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 xml:space="preserve">RASPOLOŽIVA SREDSTVA NA POČETKU </w:t>
            </w:r>
            <w:r>
              <w:rPr>
                <w:rFonts w:eastAsia="Times New Roman" w:cs="Arial"/>
                <w:b/>
                <w:bCs/>
                <w:sz w:val="17"/>
                <w:szCs w:val="17"/>
              </w:rPr>
              <w:t>RAZDOBLJA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DACC" w14:textId="14A131DB" w:rsidR="00002F10" w:rsidRPr="006752B8" w:rsidRDefault="00002F10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6752B8">
              <w:rPr>
                <w:rFonts w:cs="Arial"/>
                <w:b/>
                <w:bCs/>
                <w:color w:val="000000"/>
                <w:sz w:val="17"/>
                <w:szCs w:val="17"/>
              </w:rPr>
              <w:t>456.739.886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D7B55" w14:textId="3EC958A1" w:rsidR="00002F10" w:rsidRPr="006752B8" w:rsidRDefault="00002F10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6752B8">
              <w:rPr>
                <w:rFonts w:cs="Arial"/>
                <w:b/>
                <w:bCs/>
                <w:color w:val="000000"/>
                <w:sz w:val="17"/>
                <w:szCs w:val="17"/>
              </w:rPr>
              <w:t>390.321.955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DE2F" w14:textId="07865330" w:rsidR="00002F10" w:rsidRPr="006752B8" w:rsidRDefault="00002F10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6752B8">
              <w:rPr>
                <w:rFonts w:cs="Arial"/>
                <w:b/>
                <w:bCs/>
                <w:color w:val="000000"/>
                <w:sz w:val="17"/>
                <w:szCs w:val="17"/>
              </w:rPr>
              <w:t>566.452.865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6BAC" w14:textId="68B1C2A4" w:rsidR="00002F10" w:rsidRPr="006752B8" w:rsidRDefault="00002F10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6752B8">
              <w:rPr>
                <w:rFonts w:cs="Arial"/>
                <w:b/>
                <w:bCs/>
                <w:color w:val="000000"/>
                <w:sz w:val="17"/>
                <w:szCs w:val="17"/>
              </w:rPr>
              <w:t>518.637.790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5A9D" w14:textId="34DF77D6" w:rsidR="00002F10" w:rsidRPr="006752B8" w:rsidRDefault="00002F10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6752B8">
              <w:rPr>
                <w:rFonts w:cs="Arial"/>
                <w:b/>
                <w:bCs/>
                <w:color w:val="000000"/>
                <w:sz w:val="17"/>
                <w:szCs w:val="17"/>
              </w:rPr>
              <w:t>425.852.486</w:t>
            </w:r>
          </w:p>
        </w:tc>
      </w:tr>
      <w:tr w:rsidR="00002F10" w:rsidRPr="00514A44" w14:paraId="545757B4" w14:textId="77777777" w:rsidTr="00022BD3">
        <w:trPr>
          <w:trHeight w:val="203"/>
          <w:jc w:val="center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7DC" w14:textId="392E9408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4EE32" w14:textId="77777777" w:rsidR="00002F10" w:rsidRPr="00832DC8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29B47" w14:textId="77777777" w:rsidR="00002F10" w:rsidRPr="00832DC8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BC597" w14:textId="77777777" w:rsidR="00002F10" w:rsidRPr="00832DC8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00AE" w14:textId="77777777" w:rsidR="00002F10" w:rsidRPr="00832DC8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F059" w14:textId="77777777" w:rsidR="00002F10" w:rsidRPr="00832DC8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002F10" w:rsidRPr="00002F10" w14:paraId="1BF081C4" w14:textId="77777777" w:rsidTr="00002F10">
        <w:trPr>
          <w:trHeight w:val="3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35CC7845" w14:textId="6F1A2571" w:rsidR="00002F10" w:rsidRPr="00002F10" w:rsidRDefault="00002F10" w:rsidP="00002F10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02F10">
              <w:rPr>
                <w:rFonts w:eastAsia="Times New Roman" w:cs="Arial"/>
                <w:b/>
                <w:bCs/>
                <w:color w:val="FFFFFF" w:themeColor="background1"/>
                <w:sz w:val="17"/>
                <w:szCs w:val="17"/>
              </w:rPr>
              <w:t>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  <w:hideMark/>
          </w:tcPr>
          <w:p w14:paraId="002ECDC8" w14:textId="46A1695B" w:rsidR="00002F10" w:rsidRPr="00002F10" w:rsidRDefault="00002F10" w:rsidP="00002F10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02F10">
              <w:rPr>
                <w:rFonts w:eastAsia="Times New Roman" w:cs="Arial"/>
                <w:b/>
                <w:bCs/>
                <w:color w:val="FFFFFF" w:themeColor="background1"/>
                <w:sz w:val="17"/>
                <w:szCs w:val="17"/>
              </w:rPr>
              <w:t>PRILJEV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E99158D" w14:textId="77777777" w:rsidR="00002F10" w:rsidRPr="00002F10" w:rsidRDefault="00002F10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71DC75EC" w14:textId="77777777" w:rsidR="00002F10" w:rsidRPr="00002F10" w:rsidRDefault="00002F10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31A4D3B3" w14:textId="77777777" w:rsidR="00002F10" w:rsidRPr="00002F10" w:rsidRDefault="00002F10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B5A4256" w14:textId="77777777" w:rsidR="00002F10" w:rsidRPr="00002F10" w:rsidRDefault="00002F10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center"/>
          </w:tcPr>
          <w:p w14:paraId="70AF9B94" w14:textId="77777777" w:rsidR="00002F10" w:rsidRPr="00002F10" w:rsidRDefault="00002F10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</w:p>
        </w:tc>
      </w:tr>
      <w:tr w:rsidR="00002F10" w:rsidRPr="00514A44" w14:paraId="5DA9198F" w14:textId="77777777" w:rsidTr="00022BD3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FF90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F1C76" w14:textId="7C97AC90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Očekivana naplata glavnice i kamate po odobrenim kreditima</w:t>
            </w:r>
            <w:r>
              <w:rPr>
                <w:rFonts w:eastAsia="Times New Roman" w:cs="Arial"/>
                <w:sz w:val="17"/>
                <w:szCs w:val="17"/>
              </w:rPr>
              <w:t xml:space="preserve"> i naplata po naknadama i provizijama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E377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729.506.399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04CD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802.081.017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70BA2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835.235.648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138D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793.047.687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EFEC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686.049.696</w:t>
            </w:r>
          </w:p>
        </w:tc>
      </w:tr>
      <w:tr w:rsidR="00002F10" w:rsidRPr="00514A44" w14:paraId="78F4FA70" w14:textId="77777777" w:rsidTr="00022BD3">
        <w:trPr>
          <w:trHeight w:val="1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136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1B6D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Povlačenje sredstava po ugovorenim obvezama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4F106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591.611.622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5783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566.184.636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F862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360.000.000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9F7D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380.000.000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8116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400.000.000</w:t>
            </w:r>
          </w:p>
        </w:tc>
      </w:tr>
      <w:tr w:rsidR="00002F10" w:rsidRPr="00514A44" w14:paraId="742C2292" w14:textId="77777777" w:rsidTr="00022BD3">
        <w:trPr>
          <w:trHeight w:val="23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905AE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BBBA8" w14:textId="70EA26E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P</w:t>
            </w:r>
            <w:r w:rsidRPr="00832DC8">
              <w:rPr>
                <w:rFonts w:eastAsia="Times New Roman" w:cs="Arial"/>
                <w:sz w:val="17"/>
                <w:szCs w:val="17"/>
              </w:rPr>
              <w:t xml:space="preserve">ovlačenje sredstava po </w:t>
            </w:r>
            <w:r>
              <w:rPr>
                <w:rFonts w:eastAsia="Times New Roman" w:cs="Arial"/>
                <w:sz w:val="17"/>
                <w:szCs w:val="17"/>
              </w:rPr>
              <w:t>kratkoročnim zaduženjima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CE88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263.899.066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22195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308.722.676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135E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C681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1608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50.000.000</w:t>
            </w:r>
          </w:p>
        </w:tc>
      </w:tr>
      <w:tr w:rsidR="00002F10" w:rsidRPr="00514A44" w14:paraId="6A4C631D" w14:textId="77777777" w:rsidTr="00022BD3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2A02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6904" w14:textId="2688EBD4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Uplate u osnivački kapital HBOR-a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9392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2.654.456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2F10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3.000.000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C6FA7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5.000.000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41071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5.000.000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906C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5.000.000</w:t>
            </w:r>
          </w:p>
        </w:tc>
      </w:tr>
      <w:tr w:rsidR="00002F10" w:rsidRPr="00514A44" w14:paraId="0381C736" w14:textId="77777777" w:rsidTr="00022BD3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2E53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D103" w14:textId="65CE4F06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Povlašteno financiranje – subvencioniranje kamatnih stopa</w:t>
            </w:r>
            <w:r w:rsidRPr="00832DC8">
              <w:rPr>
                <w:rFonts w:eastAsia="Times New Roman" w:cs="Arial"/>
                <w:sz w:val="17"/>
                <w:szCs w:val="17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33609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8.345.298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CB7DC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3C6E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02B5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2.000.000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9CD0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2.000.000</w:t>
            </w:r>
          </w:p>
        </w:tc>
      </w:tr>
      <w:tr w:rsidR="00002F10" w:rsidRPr="00514A44" w14:paraId="667C705B" w14:textId="77777777" w:rsidTr="00022BD3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29B1" w14:textId="7FB1A38E" w:rsidR="00002F10" w:rsidRPr="00832DC8" w:rsidRDefault="005C33CB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6</w:t>
            </w:r>
            <w:r w:rsidR="00002F10" w:rsidRPr="00832DC8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0394D" w14:textId="300726B1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Fondovi za gospodarsku suradnju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C2F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2.799.018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D0F6A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3.350.256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3544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950CA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1C1D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002F10" w:rsidRPr="00514A44" w14:paraId="185D6E27" w14:textId="77777777" w:rsidTr="00022BD3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F3B82" w14:textId="0F9D384B" w:rsidR="00002F10" w:rsidRPr="00832DC8" w:rsidRDefault="005C33CB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7</w:t>
            </w:r>
            <w:r w:rsidR="00002F10" w:rsidRPr="00832DC8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ACC02" w14:textId="5B454C0C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F</w:t>
            </w:r>
            <w:r w:rsidRPr="00832DC8">
              <w:rPr>
                <w:rFonts w:eastAsia="Times New Roman" w:cs="Arial"/>
                <w:sz w:val="17"/>
                <w:szCs w:val="17"/>
              </w:rPr>
              <w:t>ond Inicijative triju mora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14423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4.223.683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E3A3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3.950.000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C8D6C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100.000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A64B1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100.000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8E7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47CDE" w:rsidRPr="00514A44" w14:paraId="0B65A4DC" w14:textId="77777777" w:rsidTr="007D3702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296BA5" w14:textId="1BB424DC" w:rsidR="00347CDE" w:rsidRPr="00832DC8" w:rsidRDefault="005C33CB" w:rsidP="00347CD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8</w:t>
            </w:r>
            <w:r w:rsidR="00347CDE" w:rsidRPr="00347CDE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85BD" w14:textId="10BE9DD0" w:rsidR="00347CDE" w:rsidRDefault="00347CDE" w:rsidP="00347CD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347CDE">
              <w:rPr>
                <w:rFonts w:eastAsia="Times New Roman" w:cs="Arial"/>
                <w:sz w:val="17"/>
                <w:szCs w:val="17"/>
              </w:rPr>
              <w:t>Garantni fond osiguranja izvoza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E739C" w14:textId="7BB8FAC4" w:rsidR="00347CDE" w:rsidRPr="00E01BED" w:rsidRDefault="00347CDE" w:rsidP="00347CDE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96.475.204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5FA3E" w14:textId="027938FA" w:rsidR="00347CDE" w:rsidRPr="00E01BED" w:rsidRDefault="00347CDE" w:rsidP="00347CDE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43.068.324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DFCCE" w14:textId="7F8B8763" w:rsidR="00347CDE" w:rsidRPr="00E01BED" w:rsidRDefault="00347CDE" w:rsidP="00347CDE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38.580.960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85456" w14:textId="26D5E67E" w:rsidR="00347CDE" w:rsidRPr="00E01BED" w:rsidRDefault="00347CDE" w:rsidP="00347CDE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35.834.823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8377D" w14:textId="76F82E30" w:rsidR="00347CDE" w:rsidRPr="00E01BED" w:rsidRDefault="00347CDE" w:rsidP="00347CDE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31.754.518</w:t>
            </w:r>
          </w:p>
        </w:tc>
      </w:tr>
      <w:tr w:rsidR="00002F10" w:rsidRPr="00514A44" w14:paraId="2FCEDAF2" w14:textId="77777777" w:rsidTr="00022BD3">
        <w:trPr>
          <w:trHeight w:val="2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858A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AE1E3" w14:textId="117954EC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 xml:space="preserve">Financijski instrumenti </w:t>
            </w:r>
            <w:r>
              <w:rPr>
                <w:rFonts w:eastAsia="Times New Roman" w:cs="Arial"/>
                <w:sz w:val="17"/>
                <w:szCs w:val="17"/>
              </w:rPr>
              <w:t>–</w:t>
            </w:r>
            <w:r w:rsidRPr="00832DC8">
              <w:rPr>
                <w:rFonts w:eastAsia="Times New Roman" w:cs="Arial"/>
                <w:sz w:val="17"/>
                <w:szCs w:val="17"/>
              </w:rPr>
              <w:t xml:space="preserve"> NPOO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AABD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59.890.904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F65F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104.834.805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4898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23.908.421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BDE6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4.000.000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C964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002F10" w:rsidRPr="00514A44" w14:paraId="02498A50" w14:textId="77777777" w:rsidTr="00022BD3">
        <w:trPr>
          <w:trHeight w:val="2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E25" w14:textId="77777777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10.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EF2E" w14:textId="077B72D0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Ostali p</w:t>
            </w:r>
            <w:r>
              <w:rPr>
                <w:rFonts w:eastAsia="Times New Roman" w:cs="Arial"/>
                <w:sz w:val="17"/>
                <w:szCs w:val="17"/>
              </w:rPr>
              <w:t>riljevi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741A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36.630.383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CF2B8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53.570.850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5E8E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1BAA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3DCC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002F10" w:rsidRPr="00514A44" w14:paraId="78943E3B" w14:textId="77777777" w:rsidTr="00022BD3">
        <w:trPr>
          <w:trHeight w:val="2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A4BD250" w14:textId="1E9506A9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> </w:t>
            </w:r>
            <w:r w:rsidR="0068532E">
              <w:rPr>
                <w:rFonts w:eastAsia="Times New Roman" w:cs="Arial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9D02A32" w14:textId="40B0A936" w:rsidR="00002F10" w:rsidRPr="00832DC8" w:rsidRDefault="00002F10" w:rsidP="00022BD3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 xml:space="preserve">UKUPNO </w:t>
            </w:r>
            <w:r>
              <w:rPr>
                <w:rFonts w:eastAsia="Times New Roman" w:cs="Arial"/>
                <w:b/>
                <w:bCs/>
                <w:sz w:val="17"/>
                <w:szCs w:val="17"/>
              </w:rPr>
              <w:t>PRILJEV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1EF968F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1.796.036.033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4F6FAFFC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1.888.762.564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ABF2DB1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1.262.825.029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3489C4A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1.219.982.510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3A0BD8A" w14:textId="77777777" w:rsidR="00002F10" w:rsidRPr="00E01BED" w:rsidRDefault="00002F10" w:rsidP="00022BD3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1.174.804.214</w:t>
            </w:r>
          </w:p>
        </w:tc>
      </w:tr>
      <w:tr w:rsidR="002518BB" w:rsidRPr="00514A44" w14:paraId="33C368F0" w14:textId="77777777" w:rsidTr="00002F10">
        <w:trPr>
          <w:trHeight w:val="121"/>
          <w:jc w:val="center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0CDD" w14:textId="5A13CE08" w:rsidR="00BA4E6F" w:rsidRPr="00832DC8" w:rsidRDefault="00BA4E6F" w:rsidP="002518BB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B8B1" w14:textId="7AD46015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1BAB" w14:textId="1D8462F0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E06B0" w14:textId="545849CB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6740" w14:textId="68CFBD02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EFDE" w14:textId="2DE5ED5C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002F10" w:rsidRPr="00002F10" w14:paraId="37F09A3D" w14:textId="77777777" w:rsidTr="00002F10">
        <w:trPr>
          <w:trHeight w:val="3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center"/>
            <w:hideMark/>
          </w:tcPr>
          <w:p w14:paraId="6A9D9F78" w14:textId="77777777" w:rsidR="00BA4E6F" w:rsidRPr="00002F10" w:rsidRDefault="00BA4E6F" w:rsidP="00002F10">
            <w:pPr>
              <w:spacing w:after="0" w:line="240" w:lineRule="auto"/>
              <w:rPr>
                <w:rFonts w:eastAsia="Times New Roman" w:cs="Arial"/>
                <w:color w:val="FFFFFF" w:themeColor="background1"/>
                <w:sz w:val="17"/>
                <w:szCs w:val="17"/>
              </w:rPr>
            </w:pPr>
            <w:r w:rsidRPr="00002F10">
              <w:rPr>
                <w:rFonts w:eastAsia="Times New Roman" w:cs="Arial"/>
                <w:color w:val="FFFFFF" w:themeColor="background1"/>
                <w:sz w:val="17"/>
                <w:szCs w:val="17"/>
              </w:rPr>
              <w:t>II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  <w:hideMark/>
          </w:tcPr>
          <w:p w14:paraId="3BFBA818" w14:textId="697B6993" w:rsidR="00BA4E6F" w:rsidRPr="00002F10" w:rsidRDefault="00002F10" w:rsidP="00002F10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7"/>
                <w:szCs w:val="17"/>
              </w:rPr>
              <w:t>ODLJEV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B36A22D" w14:textId="36DBA138" w:rsidR="00BA4E6F" w:rsidRPr="00E01BED" w:rsidRDefault="00BA4E6F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E01BED">
              <w:rPr>
                <w:rFonts w:cs="Arial"/>
                <w:color w:val="FFFFFF" w:themeColor="background1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9F86826" w14:textId="6986CCB2" w:rsidR="00BA4E6F" w:rsidRPr="00E01BED" w:rsidRDefault="00BA4E6F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E01BED">
              <w:rPr>
                <w:rFonts w:cs="Arial"/>
                <w:color w:val="FFFFFF" w:themeColor="background1"/>
                <w:sz w:val="17"/>
                <w:szCs w:val="17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0F283737" w14:textId="61818506" w:rsidR="00BA4E6F" w:rsidRPr="00E01BED" w:rsidRDefault="00BA4E6F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E01BED">
              <w:rPr>
                <w:rFonts w:cs="Arial"/>
                <w:color w:val="FFFFFF" w:themeColor="background1"/>
                <w:sz w:val="17"/>
                <w:szCs w:val="17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center"/>
          </w:tcPr>
          <w:p w14:paraId="14DAFB5F" w14:textId="62BC5AFF" w:rsidR="00BA4E6F" w:rsidRPr="00E01BED" w:rsidRDefault="00BA4E6F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E01BED">
              <w:rPr>
                <w:rFonts w:cs="Arial"/>
                <w:color w:val="FFFFFF" w:themeColor="background1"/>
                <w:sz w:val="17"/>
                <w:szCs w:val="17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center"/>
          </w:tcPr>
          <w:p w14:paraId="2FEA1C71" w14:textId="4BE1EE2C" w:rsidR="00BA4E6F" w:rsidRPr="00E01BED" w:rsidRDefault="00BA4E6F" w:rsidP="00002F10">
            <w:pPr>
              <w:spacing w:after="0" w:line="240" w:lineRule="auto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E01BED">
              <w:rPr>
                <w:rFonts w:cs="Arial"/>
                <w:color w:val="FFFFFF" w:themeColor="background1"/>
                <w:sz w:val="17"/>
                <w:szCs w:val="17"/>
              </w:rPr>
              <w:t> </w:t>
            </w:r>
          </w:p>
        </w:tc>
      </w:tr>
      <w:tr w:rsidR="002518BB" w:rsidRPr="00514A44" w14:paraId="70F341A7" w14:textId="77777777" w:rsidTr="008635AE">
        <w:trPr>
          <w:trHeight w:val="2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D7A6" w14:textId="77777777" w:rsidR="00BA4E6F" w:rsidRPr="00832DC8" w:rsidRDefault="00BA4E6F" w:rsidP="008635A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2CBB4" w14:textId="7601E6D0" w:rsidR="00BA4E6F" w:rsidRPr="00832DC8" w:rsidRDefault="0068532E" w:rsidP="002518BB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I</w:t>
            </w:r>
            <w:r w:rsidR="00BA4E6F" w:rsidRPr="00832DC8">
              <w:rPr>
                <w:rFonts w:eastAsia="Times New Roman" w:cs="Arial"/>
                <w:sz w:val="17"/>
                <w:szCs w:val="17"/>
              </w:rPr>
              <w:t>splate po kreditnim programima</w:t>
            </w:r>
            <w:r>
              <w:rPr>
                <w:rFonts w:eastAsia="Times New Roman" w:cs="Arial"/>
                <w:sz w:val="17"/>
                <w:szCs w:val="17"/>
              </w:rPr>
              <w:t xml:space="preserve"> i garancijama</w:t>
            </w:r>
            <w:r w:rsidR="00BA4E6F" w:rsidRPr="00832DC8">
              <w:rPr>
                <w:rFonts w:eastAsia="Times New Roman" w:cs="Arial"/>
                <w:sz w:val="17"/>
                <w:szCs w:val="17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19B3" w14:textId="438EB37B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857.451.126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D3C7" w14:textId="6572AAF1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736.576.531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45CA" w14:textId="53FB184E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731.825.000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292E" w14:textId="4F605524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806.172.400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9889" w14:textId="03B5BD0C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763.112.660</w:t>
            </w:r>
          </w:p>
        </w:tc>
      </w:tr>
      <w:tr w:rsidR="00347CDE" w:rsidRPr="00514A44" w14:paraId="5F86D7CE" w14:textId="77777777" w:rsidTr="008635AE">
        <w:trPr>
          <w:trHeight w:val="2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E9874" w14:textId="5CA3A307" w:rsidR="00347CDE" w:rsidRPr="00832DC8" w:rsidRDefault="005C33CB" w:rsidP="008635A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B79D2" w14:textId="55461544" w:rsidR="00347CDE" w:rsidRDefault="00A56D47" w:rsidP="002518BB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A56D47">
              <w:rPr>
                <w:rFonts w:eastAsia="Times New Roman" w:cs="Arial"/>
                <w:sz w:val="17"/>
                <w:szCs w:val="17"/>
              </w:rPr>
              <w:t>Ulaganja u EIF NPI equity i naknade i ostali troškovi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6BC5" w14:textId="403FA0BD" w:rsidR="00347CDE" w:rsidRPr="00E01BED" w:rsidRDefault="006205A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5.028.139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C2F6B" w14:textId="018EE9B0" w:rsidR="00347CDE" w:rsidRPr="00E01BED" w:rsidRDefault="006205A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4.209.000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0752" w14:textId="4F75F28A" w:rsidR="00347CDE" w:rsidRPr="00E01BED" w:rsidRDefault="006205A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8.987.000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99A66" w14:textId="15118463" w:rsidR="00347CDE" w:rsidRPr="00E01BED" w:rsidRDefault="000B2152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6.499.000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0B14" w14:textId="41FFDF4E" w:rsidR="00347CDE" w:rsidRPr="00E01BED" w:rsidRDefault="000B2152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2.308.000</w:t>
            </w:r>
          </w:p>
        </w:tc>
      </w:tr>
      <w:tr w:rsidR="002518BB" w:rsidRPr="00514A44" w14:paraId="46EC1458" w14:textId="77777777" w:rsidTr="008635AE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878C" w14:textId="2A5FD048" w:rsidR="00BA4E6F" w:rsidRPr="00832DC8" w:rsidRDefault="005C33CB" w:rsidP="008635A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3</w:t>
            </w:r>
            <w:r w:rsidR="00BA4E6F" w:rsidRPr="00832DC8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EE4A4" w14:textId="10FCFEC9" w:rsidR="00BA4E6F" w:rsidRPr="00832DC8" w:rsidRDefault="00BA4E6F" w:rsidP="002518BB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832DC8">
              <w:rPr>
                <w:rFonts w:eastAsia="Times New Roman" w:cs="Arial"/>
                <w:sz w:val="17"/>
                <w:szCs w:val="17"/>
              </w:rPr>
              <w:t xml:space="preserve">Otplata glavnice i kamata </w:t>
            </w:r>
            <w:r w:rsidR="0068532E">
              <w:rPr>
                <w:rFonts w:eastAsia="Times New Roman" w:cs="Arial"/>
                <w:sz w:val="17"/>
                <w:szCs w:val="17"/>
              </w:rPr>
              <w:t xml:space="preserve">po </w:t>
            </w:r>
            <w:r w:rsidRPr="00832DC8">
              <w:rPr>
                <w:rFonts w:eastAsia="Times New Roman" w:cs="Arial"/>
                <w:sz w:val="17"/>
                <w:szCs w:val="17"/>
              </w:rPr>
              <w:t>zaduženj</w:t>
            </w:r>
            <w:r w:rsidR="0068532E">
              <w:rPr>
                <w:rFonts w:eastAsia="Times New Roman" w:cs="Arial"/>
                <w:sz w:val="17"/>
                <w:szCs w:val="17"/>
              </w:rPr>
              <w:t>im</w:t>
            </w:r>
            <w:r w:rsidRPr="00832DC8">
              <w:rPr>
                <w:rFonts w:eastAsia="Times New Roman" w:cs="Arial"/>
                <w:sz w:val="17"/>
                <w:szCs w:val="17"/>
              </w:rPr>
              <w:t>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DA433" w14:textId="51804521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539.774.911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11F7A" w14:textId="3EFD66B6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506.475.955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8149" w14:textId="301EB9FA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409.036.253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AEB3" w14:textId="6FC28FEE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432.754.475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F96B" w14:textId="465D376C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405.015.895</w:t>
            </w:r>
          </w:p>
        </w:tc>
      </w:tr>
      <w:tr w:rsidR="002518BB" w:rsidRPr="00514A44" w14:paraId="3C2D38DD" w14:textId="77777777" w:rsidTr="008635AE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118D" w14:textId="234D5746" w:rsidR="00BA4E6F" w:rsidRPr="00832DC8" w:rsidRDefault="005C33CB" w:rsidP="008635A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4</w:t>
            </w:r>
            <w:r w:rsidR="00BA4E6F" w:rsidRPr="00832DC8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D200C" w14:textId="4D4BC84E" w:rsidR="00BA4E6F" w:rsidRPr="00832DC8" w:rsidRDefault="00BA4E6F" w:rsidP="002518BB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32DC8">
              <w:rPr>
                <w:rFonts w:eastAsia="Times New Roman" w:cs="Arial"/>
                <w:color w:val="000000"/>
                <w:sz w:val="17"/>
                <w:szCs w:val="17"/>
              </w:rPr>
              <w:t xml:space="preserve">Odljev sredstava po kratkoročnim </w:t>
            </w:r>
            <w:r w:rsidR="0068532E">
              <w:rPr>
                <w:rFonts w:eastAsia="Times New Roman" w:cs="Arial"/>
                <w:color w:val="000000"/>
                <w:sz w:val="17"/>
                <w:szCs w:val="17"/>
              </w:rPr>
              <w:t>zaduženjima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E8F24" w14:textId="33A2A9CB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222.027.000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FE38" w14:textId="6441157B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219.116.448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E055" w14:textId="323A3594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50.000.000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DD77" w14:textId="7B24FCEF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0E18" w14:textId="3AD4BF16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2518BB" w:rsidRPr="00514A44" w14:paraId="051A4F86" w14:textId="77777777" w:rsidTr="008635AE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BF2" w14:textId="1EBBA8EE" w:rsidR="00BA4E6F" w:rsidRPr="00832DC8" w:rsidRDefault="005C33CB" w:rsidP="008635A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5</w:t>
            </w:r>
            <w:r w:rsidR="00BA4E6F" w:rsidRPr="00832DC8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10A47" w14:textId="2ADE0F81" w:rsidR="00BA4E6F" w:rsidRPr="00832DC8" w:rsidRDefault="00BA4E6F" w:rsidP="002518BB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32DC8">
              <w:rPr>
                <w:rFonts w:eastAsia="Times New Roman" w:cs="Arial"/>
                <w:color w:val="000000"/>
                <w:sz w:val="17"/>
                <w:szCs w:val="17"/>
              </w:rPr>
              <w:t>F</w:t>
            </w:r>
            <w:r w:rsidR="0068532E">
              <w:rPr>
                <w:rFonts w:eastAsia="Times New Roman" w:cs="Arial"/>
                <w:color w:val="000000"/>
                <w:sz w:val="17"/>
                <w:szCs w:val="17"/>
              </w:rPr>
              <w:t>ondovi za gospodarsku suradnju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6719" w14:textId="406D2E86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2.799.018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8CC8C" w14:textId="4AABCF17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3.350.256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300C" w14:textId="1D4A2856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093D" w14:textId="58ACB12B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2A93" w14:textId="18364952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2518BB" w:rsidRPr="00514A44" w14:paraId="459275C3" w14:textId="77777777" w:rsidTr="008635AE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50C4" w14:textId="2DEC99FD" w:rsidR="00BA4E6F" w:rsidRPr="00832DC8" w:rsidRDefault="005C33CB" w:rsidP="008635A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6</w:t>
            </w:r>
            <w:r w:rsidR="00BA4E6F" w:rsidRPr="00832DC8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E5E9F" w14:textId="39A7C7DC" w:rsidR="00BA4E6F" w:rsidRPr="00832DC8" w:rsidRDefault="0068532E" w:rsidP="002518BB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</w:rPr>
              <w:t>F</w:t>
            </w:r>
            <w:r w:rsidR="00BA4E6F" w:rsidRPr="00832DC8">
              <w:rPr>
                <w:rFonts w:eastAsia="Times New Roman" w:cs="Arial"/>
                <w:color w:val="000000"/>
                <w:sz w:val="17"/>
                <w:szCs w:val="17"/>
              </w:rPr>
              <w:t>ond Inicijative triju mora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805E5" w14:textId="64B01374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4.223.683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E51B" w14:textId="269646F4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3.950.000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C49D" w14:textId="5639C8CD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100.000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89B5" w14:textId="093C7718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100.000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A50" w14:textId="394DF912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A56D47" w:rsidRPr="00514A44" w14:paraId="7FD45D94" w14:textId="77777777" w:rsidTr="00724511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6002BE" w14:textId="68D26915" w:rsidR="00A56D47" w:rsidRPr="00832DC8" w:rsidRDefault="005C33CB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7</w:t>
            </w:r>
            <w:r w:rsidR="00A56D47" w:rsidRPr="00A56D47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60358" w14:textId="21D038F4" w:rsidR="00A56D47" w:rsidRPr="00A56D47" w:rsidRDefault="00A56D47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A56D47">
              <w:rPr>
                <w:rFonts w:eastAsia="Times New Roman" w:cs="Arial"/>
                <w:sz w:val="17"/>
                <w:szCs w:val="17"/>
              </w:rPr>
              <w:t>Garantni fond osiguranja izvoza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B3C62" w14:textId="4C259B97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96.332.890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8475B" w14:textId="59CEDD79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36.806.313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63A09" w14:textId="70136131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37.000.000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D4C28" w14:textId="328486C5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29.000.000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F48AF" w14:textId="2132F1AF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34.000.000</w:t>
            </w:r>
          </w:p>
        </w:tc>
      </w:tr>
      <w:tr w:rsidR="00A56D47" w:rsidRPr="00514A44" w14:paraId="3A9F9786" w14:textId="77777777" w:rsidTr="00724511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5CB181" w14:textId="514D4597" w:rsidR="00A56D47" w:rsidRPr="00A56D47" w:rsidRDefault="00A56D47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A56D47">
              <w:rPr>
                <w:rFonts w:eastAsia="Times New Roman" w:cs="Arial"/>
                <w:sz w:val="17"/>
                <w:szCs w:val="17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28273" w14:textId="1C7388C6" w:rsidR="00A56D47" w:rsidRPr="00A56D47" w:rsidRDefault="00A56D47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A56D47">
              <w:rPr>
                <w:rFonts w:eastAsia="Times New Roman" w:cs="Arial"/>
                <w:sz w:val="17"/>
                <w:szCs w:val="17"/>
              </w:rPr>
              <w:t>Financijski instrumenti – NPOO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32E80" w14:textId="1752E262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60.590.508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BAB3B" w14:textId="61C383E5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107.107.865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4E242" w14:textId="24A7CE2C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23.908.421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8C023" w14:textId="549D29A0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4.000.000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FE776" w14:textId="2C52CF72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-</w:t>
            </w:r>
          </w:p>
        </w:tc>
      </w:tr>
      <w:tr w:rsidR="00A56D47" w:rsidRPr="00514A44" w14:paraId="11D374F6" w14:textId="77777777" w:rsidTr="00724511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E0EB15" w14:textId="16A968A4" w:rsidR="00A56D47" w:rsidRPr="00A56D47" w:rsidRDefault="005C33CB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7521C" w14:textId="7F22BBE8" w:rsidR="00A56D47" w:rsidRPr="00A56D47" w:rsidRDefault="00A56D47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A56D47">
              <w:rPr>
                <w:rFonts w:eastAsia="Times New Roman" w:cs="Arial"/>
                <w:sz w:val="17"/>
                <w:szCs w:val="17"/>
              </w:rPr>
              <w:t>Odljevi u ime isplata subvencija FI (NPOO)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5BF9B" w14:textId="26E38AFF" w:rsidR="00A56D47" w:rsidRPr="00E01BED" w:rsidRDefault="006205AF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68.296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4896E" w14:textId="3ADDD480" w:rsidR="00A56D47" w:rsidRPr="00E01BED" w:rsidRDefault="006205AF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4.336.000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91EFF" w14:textId="77FD1C3A" w:rsidR="00A56D47" w:rsidRPr="00E01BED" w:rsidRDefault="006205AF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10.087.000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6F4E8" w14:textId="6285980D" w:rsidR="00A56D47" w:rsidRPr="00E01BED" w:rsidRDefault="000B2152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1.383.000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E1AB5" w14:textId="3A271B0B" w:rsidR="00A56D47" w:rsidRPr="00E01BED" w:rsidRDefault="000B2152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-</w:t>
            </w:r>
          </w:p>
        </w:tc>
      </w:tr>
      <w:tr w:rsidR="00A56D47" w:rsidRPr="00514A44" w14:paraId="39CF7876" w14:textId="77777777" w:rsidTr="0074408D">
        <w:trPr>
          <w:trHeight w:val="2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B65BAD" w14:textId="719CCE75" w:rsidR="00A56D47" w:rsidRPr="00832DC8" w:rsidRDefault="005C33CB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10</w:t>
            </w:r>
            <w:r w:rsidR="00A56D47" w:rsidRPr="00A56D47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7A057" w14:textId="4E9BE770" w:rsidR="00A56D47" w:rsidRPr="00A56D47" w:rsidRDefault="00A56D47" w:rsidP="00A56D47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 w:rsidRPr="00A56D47">
              <w:rPr>
                <w:rFonts w:eastAsia="Times New Roman" w:cs="Arial"/>
                <w:sz w:val="17"/>
                <w:szCs w:val="17"/>
              </w:rPr>
              <w:t>Troškovi poslovanja i naknada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EEEB1" w14:textId="4E0AA0C8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23.880.222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7C1E8" w14:textId="08C7047B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24.882.900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7AA" w14:textId="5603A4C5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32.006.667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C94A9" w14:textId="64D4FB59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32.302.763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FF38E" w14:textId="59BB60BE" w:rsidR="00A56D47" w:rsidRPr="00E01BED" w:rsidRDefault="00A56D47" w:rsidP="00A56D47">
            <w:pPr>
              <w:spacing w:after="0" w:line="240" w:lineRule="auto"/>
              <w:jc w:val="right"/>
              <w:rPr>
                <w:rFonts w:eastAsia="Times New Roman" w:cs="Arial"/>
                <w:sz w:val="17"/>
                <w:szCs w:val="17"/>
              </w:rPr>
            </w:pPr>
            <w:r w:rsidRPr="00E01BED">
              <w:rPr>
                <w:rFonts w:eastAsia="Times New Roman" w:cs="Arial"/>
                <w:sz w:val="17"/>
                <w:szCs w:val="17"/>
              </w:rPr>
              <w:t>33.367.014</w:t>
            </w:r>
          </w:p>
        </w:tc>
      </w:tr>
      <w:tr w:rsidR="002518BB" w:rsidRPr="00514A44" w14:paraId="5EB0F3DE" w14:textId="77777777" w:rsidTr="008635AE">
        <w:trPr>
          <w:trHeight w:val="2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87F" w14:textId="27249D31" w:rsidR="00BA4E6F" w:rsidRPr="00832DC8" w:rsidRDefault="005C33CB" w:rsidP="008635AE">
            <w:pPr>
              <w:spacing w:after="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11</w:t>
            </w:r>
            <w:r w:rsidR="00BA4E6F" w:rsidRPr="00832DC8"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ABF68" w14:textId="79065DC6" w:rsidR="00BA4E6F" w:rsidRPr="00832DC8" w:rsidRDefault="00BA4E6F" w:rsidP="002518BB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32DC8">
              <w:rPr>
                <w:rFonts w:eastAsia="Times New Roman" w:cs="Arial"/>
                <w:color w:val="000000"/>
                <w:sz w:val="17"/>
                <w:szCs w:val="17"/>
              </w:rPr>
              <w:t xml:space="preserve">Ostali </w:t>
            </w:r>
            <w:r w:rsidR="0068532E">
              <w:rPr>
                <w:rFonts w:eastAsia="Times New Roman" w:cs="Arial"/>
                <w:color w:val="000000"/>
                <w:sz w:val="17"/>
                <w:szCs w:val="17"/>
              </w:rPr>
              <w:t>odljevi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E0E5" w14:textId="05AD7BE4" w:rsidR="00BA4E6F" w:rsidRPr="00E01BED" w:rsidRDefault="000B2152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50.278.171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778D" w14:textId="4455924B" w:rsidR="00BA4E6F" w:rsidRPr="00E01BED" w:rsidRDefault="006205AF" w:rsidP="002518BB">
            <w:pPr>
              <w:spacing w:after="0" w:line="240" w:lineRule="auto"/>
              <w:jc w:val="right"/>
              <w:rPr>
                <w:rFonts w:cs="Arial"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8"/>
                <w:szCs w:val="18"/>
              </w:rPr>
              <w:t>65.820.386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01296" w14:textId="5B970E45" w:rsidR="00BA4E6F" w:rsidRPr="00E01BED" w:rsidRDefault="00E01BED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7.689.763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5BE0A" w14:textId="6C75D70E" w:rsidR="00BA4E6F" w:rsidRPr="00E01BED" w:rsidRDefault="00264F6A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556.176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4C4B" w14:textId="314D464D" w:rsidR="00BA4E6F" w:rsidRPr="00E01BED" w:rsidRDefault="00264F6A" w:rsidP="002518BB">
            <w:pPr>
              <w:spacing w:after="0" w:line="240" w:lineRule="auto"/>
              <w:jc w:val="right"/>
              <w:rPr>
                <w:rFonts w:cs="Arial"/>
                <w:sz w:val="17"/>
                <w:szCs w:val="17"/>
              </w:rPr>
            </w:pPr>
            <w:r w:rsidRPr="00E01BED">
              <w:rPr>
                <w:rFonts w:cs="Arial"/>
                <w:color w:val="000000"/>
                <w:sz w:val="17"/>
                <w:szCs w:val="17"/>
              </w:rPr>
              <w:t>446.562</w:t>
            </w:r>
          </w:p>
        </w:tc>
      </w:tr>
      <w:tr w:rsidR="0068532E" w:rsidRPr="0068532E" w14:paraId="6E64AFB9" w14:textId="77777777" w:rsidTr="0068532E">
        <w:trPr>
          <w:trHeight w:val="2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5886D0E" w14:textId="20F5CDCE" w:rsidR="00BA4E6F" w:rsidRPr="0068532E" w:rsidRDefault="0068532E" w:rsidP="008635AE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68532E">
              <w:rPr>
                <w:rFonts w:eastAsia="Times New Roman" w:cs="Arial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DCC9106" w14:textId="2D736669" w:rsidR="00BA4E6F" w:rsidRPr="0068532E" w:rsidRDefault="00BA4E6F" w:rsidP="002518BB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68532E">
              <w:rPr>
                <w:rFonts w:eastAsia="Times New Roman" w:cs="Arial"/>
                <w:b/>
                <w:bCs/>
                <w:sz w:val="17"/>
                <w:szCs w:val="17"/>
              </w:rPr>
              <w:t>UKUPNO</w:t>
            </w:r>
            <w:r w:rsidR="0068532E" w:rsidRPr="0068532E">
              <w:rPr>
                <w:rFonts w:eastAsia="Times New Roman" w:cs="Arial"/>
                <w:b/>
                <w:bCs/>
                <w:sz w:val="17"/>
                <w:szCs w:val="17"/>
              </w:rPr>
              <w:t xml:space="preserve"> ODLJEV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10438386" w14:textId="3F1C3819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sz w:val="17"/>
                <w:szCs w:val="17"/>
              </w:rPr>
              <w:t>1.862.453.964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9196D05" w14:textId="5019AF0C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sz w:val="17"/>
                <w:szCs w:val="17"/>
              </w:rPr>
              <w:t>1.712.631.654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DBB510E" w14:textId="6199D396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sz w:val="17"/>
                <w:szCs w:val="17"/>
              </w:rPr>
              <w:t>1.310.640.104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6214CE6" w14:textId="5636BA87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sz w:val="17"/>
                <w:szCs w:val="17"/>
              </w:rPr>
              <w:t>1.312.767.814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68FB99E" w14:textId="41C1EC3E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sz w:val="17"/>
                <w:szCs w:val="17"/>
              </w:rPr>
              <w:t>1.238.250.131</w:t>
            </w:r>
          </w:p>
        </w:tc>
      </w:tr>
      <w:tr w:rsidR="002518BB" w:rsidRPr="00514A44" w14:paraId="068B3E52" w14:textId="77777777" w:rsidTr="0068532E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9528DD9" w14:textId="0492F2D1" w:rsidR="00BA4E6F" w:rsidRPr="00832DC8" w:rsidRDefault="00BA4E6F" w:rsidP="008635AE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</w:rPr>
            </w:pPr>
            <w:r w:rsidRPr="00832DC8">
              <w:rPr>
                <w:rFonts w:eastAsia="Times New Roman" w:cs="Arial"/>
                <w:color w:val="000000"/>
                <w:sz w:val="17"/>
                <w:szCs w:val="17"/>
              </w:rPr>
              <w:t>I</w:t>
            </w:r>
            <w:r w:rsidR="0068532E">
              <w:rPr>
                <w:rFonts w:eastAsia="Times New Roman" w:cs="Arial"/>
                <w:color w:val="000000"/>
                <w:sz w:val="17"/>
                <w:szCs w:val="17"/>
              </w:rPr>
              <w:t>II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F18A1DC" w14:textId="42C70957" w:rsidR="00BA4E6F" w:rsidRPr="00832DC8" w:rsidRDefault="00BA4E6F" w:rsidP="002518BB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 xml:space="preserve">RAZLIKA </w:t>
            </w:r>
            <w:r w:rsidR="0068532E">
              <w:rPr>
                <w:rFonts w:eastAsia="Times New Roman" w:cs="Arial"/>
                <w:b/>
                <w:bCs/>
                <w:sz w:val="17"/>
                <w:szCs w:val="17"/>
              </w:rPr>
              <w:t xml:space="preserve">PRILJEVA I ODLJEVA </w:t>
            </w: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>I-II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2D9E033" w14:textId="4B70402F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(66.417.931)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bottom"/>
          </w:tcPr>
          <w:p w14:paraId="5B7AED5A" w14:textId="099A287E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176.130.910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bottom"/>
          </w:tcPr>
          <w:p w14:paraId="449D44D0" w14:textId="29E2D2CD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(47.815.075)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6065ABFD" w14:textId="53136142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(92.785.304)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783ED3D" w14:textId="19E158E6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(63.445.917)</w:t>
            </w:r>
          </w:p>
        </w:tc>
      </w:tr>
      <w:tr w:rsidR="002518BB" w:rsidRPr="000B4F21" w14:paraId="6C2326ED" w14:textId="77777777" w:rsidTr="008635AE">
        <w:trPr>
          <w:trHeight w:val="4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6E285BD" w14:textId="5B09E676" w:rsidR="00BA4E6F" w:rsidRPr="00832DC8" w:rsidRDefault="0068532E" w:rsidP="008635AE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</w:rPr>
              <w:t>I</w:t>
            </w:r>
            <w:r w:rsidR="00BA4E6F" w:rsidRPr="00832DC8">
              <w:rPr>
                <w:rFonts w:eastAsia="Times New Roman" w:cs="Arial"/>
                <w:color w:val="000000"/>
                <w:sz w:val="17"/>
                <w:szCs w:val="17"/>
              </w:rPr>
              <w:t>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2DC3906F" w14:textId="77777777" w:rsidR="0068532E" w:rsidRDefault="0068532E" w:rsidP="002518BB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</w:rPr>
              <w:t>OSTATAK</w:t>
            </w:r>
            <w:r w:rsidR="00BA4E6F" w:rsidRPr="00832DC8">
              <w:rPr>
                <w:rFonts w:eastAsia="Times New Roman" w:cs="Arial"/>
                <w:b/>
                <w:bCs/>
                <w:sz w:val="17"/>
                <w:szCs w:val="17"/>
              </w:rPr>
              <w:t xml:space="preserve"> SREDST</w:t>
            </w:r>
            <w:r>
              <w:rPr>
                <w:rFonts w:eastAsia="Times New Roman" w:cs="Arial"/>
                <w:b/>
                <w:bCs/>
                <w:sz w:val="17"/>
                <w:szCs w:val="17"/>
              </w:rPr>
              <w:t>A</w:t>
            </w:r>
            <w:r w:rsidR="00BA4E6F" w:rsidRPr="00832DC8">
              <w:rPr>
                <w:rFonts w:eastAsia="Times New Roman" w:cs="Arial"/>
                <w:b/>
                <w:bCs/>
                <w:sz w:val="17"/>
                <w:szCs w:val="17"/>
              </w:rPr>
              <w:t>VA</w:t>
            </w:r>
          </w:p>
          <w:p w14:paraId="5B31751B" w14:textId="4288CE30" w:rsidR="00BA4E6F" w:rsidRPr="00832DC8" w:rsidRDefault="00BA4E6F" w:rsidP="002518BB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>(</w:t>
            </w:r>
            <w:r w:rsidR="0068532E">
              <w:rPr>
                <w:rFonts w:eastAsia="Times New Roman" w:cs="Arial"/>
                <w:b/>
                <w:bCs/>
                <w:sz w:val="17"/>
                <w:szCs w:val="17"/>
              </w:rPr>
              <w:t xml:space="preserve">Raspoloživa sredstva </w:t>
            </w: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>+ I</w:t>
            </w:r>
            <w:r w:rsidR="0068532E">
              <w:rPr>
                <w:rFonts w:eastAsia="Times New Roman" w:cs="Arial"/>
                <w:b/>
                <w:bCs/>
                <w:sz w:val="17"/>
                <w:szCs w:val="17"/>
              </w:rPr>
              <w:t>II</w:t>
            </w:r>
            <w:r w:rsidRPr="00832DC8">
              <w:rPr>
                <w:rFonts w:eastAsia="Times New Roman" w:cs="Arial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5D09429E" w14:textId="533AA1A2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390.321.955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474D9864" w14:textId="488BE1F0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566.452.865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4299DEFC" w14:textId="5B1B6BEE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518.637.790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240C3873" w14:textId="4B912A3D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425.852.486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3DE5186" w14:textId="0CC2B14A" w:rsidR="00BA4E6F" w:rsidRPr="00E01BED" w:rsidRDefault="00BA4E6F" w:rsidP="002518BB">
            <w:pPr>
              <w:spacing w:after="0" w:line="240" w:lineRule="auto"/>
              <w:jc w:val="right"/>
              <w:rPr>
                <w:rFonts w:cs="Arial"/>
                <w:b/>
                <w:sz w:val="17"/>
                <w:szCs w:val="17"/>
              </w:rPr>
            </w:pPr>
            <w:r w:rsidRPr="00E01BED">
              <w:rPr>
                <w:rFonts w:cs="Arial"/>
                <w:b/>
                <w:bCs/>
                <w:color w:val="000000"/>
                <w:sz w:val="17"/>
                <w:szCs w:val="17"/>
              </w:rPr>
              <w:t>362.406.569</w:t>
            </w:r>
          </w:p>
        </w:tc>
      </w:tr>
    </w:tbl>
    <w:p w14:paraId="0B1ACE52" w14:textId="77777777" w:rsidR="00832DC8" w:rsidRDefault="00832DC8" w:rsidP="002F0C1D">
      <w:pPr>
        <w:spacing w:after="0" w:line="240" w:lineRule="auto"/>
        <w:jc w:val="both"/>
        <w:rPr>
          <w:rFonts w:cs="Arial"/>
          <w:b/>
          <w:spacing w:val="-3"/>
          <w:sz w:val="20"/>
        </w:rPr>
      </w:pPr>
    </w:p>
    <w:p w14:paraId="5A7F0488" w14:textId="77777777" w:rsidR="00832DC8" w:rsidRDefault="00832DC8" w:rsidP="002F0C1D">
      <w:pPr>
        <w:spacing w:after="0" w:line="240" w:lineRule="auto"/>
        <w:jc w:val="both"/>
        <w:rPr>
          <w:rFonts w:cs="Arial"/>
          <w:b/>
          <w:spacing w:val="-3"/>
          <w:sz w:val="20"/>
        </w:rPr>
      </w:pPr>
    </w:p>
    <w:p w14:paraId="37BDB159" w14:textId="77777777" w:rsidR="00832DC8" w:rsidRDefault="00832DC8" w:rsidP="002F0C1D">
      <w:pPr>
        <w:spacing w:after="0" w:line="240" w:lineRule="auto"/>
        <w:jc w:val="both"/>
        <w:rPr>
          <w:rFonts w:cs="Arial"/>
          <w:b/>
          <w:spacing w:val="-3"/>
          <w:sz w:val="20"/>
        </w:rPr>
      </w:pPr>
    </w:p>
    <w:p w14:paraId="0AFC358B" w14:textId="77777777" w:rsidR="002518BB" w:rsidRDefault="002518BB" w:rsidP="002F0C1D">
      <w:pPr>
        <w:spacing w:after="0" w:line="240" w:lineRule="auto"/>
        <w:jc w:val="both"/>
        <w:rPr>
          <w:rFonts w:cs="Arial"/>
          <w:b/>
          <w:spacing w:val="-3"/>
          <w:sz w:val="20"/>
        </w:rPr>
        <w:sectPr w:rsidR="002518BB" w:rsidSect="00E8484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42AFA51" w14:textId="796B8907" w:rsidR="00C92A32" w:rsidRPr="005504D6" w:rsidRDefault="00C27A51" w:rsidP="002F0C1D">
      <w:pPr>
        <w:spacing w:after="0" w:line="240" w:lineRule="auto"/>
        <w:jc w:val="both"/>
        <w:rPr>
          <w:rFonts w:cs="Arial"/>
          <w:b/>
          <w:spacing w:val="-3"/>
          <w:sz w:val="20"/>
        </w:rPr>
      </w:pPr>
      <w:r w:rsidRPr="005504D6">
        <w:rPr>
          <w:rFonts w:cs="Arial"/>
          <w:b/>
          <w:spacing w:val="-3"/>
          <w:sz w:val="20"/>
        </w:rPr>
        <w:lastRenderedPageBreak/>
        <w:t>Obrazloženje Srednjoročnog p</w:t>
      </w:r>
      <w:r w:rsidR="00C92A32" w:rsidRPr="005504D6">
        <w:rPr>
          <w:rFonts w:cs="Arial"/>
          <w:b/>
          <w:spacing w:val="-3"/>
          <w:sz w:val="20"/>
        </w:rPr>
        <w:t>osl</w:t>
      </w:r>
      <w:r w:rsidR="00F24B5E" w:rsidRPr="005504D6">
        <w:rPr>
          <w:rFonts w:cs="Arial"/>
          <w:b/>
          <w:spacing w:val="-3"/>
          <w:sz w:val="20"/>
        </w:rPr>
        <w:t>ovnog plana za razdoblje od 20</w:t>
      </w:r>
      <w:r w:rsidR="00480CDB" w:rsidRPr="005504D6">
        <w:rPr>
          <w:rFonts w:cs="Arial"/>
          <w:b/>
          <w:spacing w:val="-3"/>
          <w:sz w:val="20"/>
        </w:rPr>
        <w:t>2</w:t>
      </w:r>
      <w:r w:rsidR="007371A0">
        <w:rPr>
          <w:rFonts w:cs="Arial"/>
          <w:b/>
          <w:spacing w:val="-3"/>
          <w:sz w:val="20"/>
        </w:rPr>
        <w:t>5</w:t>
      </w:r>
      <w:r w:rsidR="00F24B5E" w:rsidRPr="005504D6">
        <w:rPr>
          <w:rFonts w:cs="Arial"/>
          <w:b/>
          <w:spacing w:val="-3"/>
          <w:sz w:val="20"/>
        </w:rPr>
        <w:t>.</w:t>
      </w:r>
      <w:r w:rsidR="002518BB">
        <w:rPr>
          <w:rFonts w:cs="Arial"/>
          <w:b/>
          <w:spacing w:val="-3"/>
          <w:sz w:val="20"/>
        </w:rPr>
        <w:t xml:space="preserve"> </w:t>
      </w:r>
      <w:r w:rsidR="00F24B5E" w:rsidRPr="005504D6">
        <w:rPr>
          <w:rFonts w:cs="Arial"/>
          <w:b/>
          <w:spacing w:val="-3"/>
          <w:sz w:val="20"/>
        </w:rPr>
        <w:t>-</w:t>
      </w:r>
      <w:r w:rsidR="002518BB">
        <w:rPr>
          <w:rFonts w:cs="Arial"/>
          <w:b/>
          <w:spacing w:val="-3"/>
          <w:sz w:val="20"/>
        </w:rPr>
        <w:t xml:space="preserve"> </w:t>
      </w:r>
      <w:r w:rsidR="00F24B5E" w:rsidRPr="005504D6">
        <w:rPr>
          <w:rFonts w:cs="Arial"/>
          <w:b/>
          <w:spacing w:val="-3"/>
          <w:sz w:val="20"/>
        </w:rPr>
        <w:t>202</w:t>
      </w:r>
      <w:r w:rsidR="007371A0">
        <w:rPr>
          <w:rFonts w:cs="Arial"/>
          <w:b/>
          <w:spacing w:val="-3"/>
          <w:sz w:val="20"/>
        </w:rPr>
        <w:t>7</w:t>
      </w:r>
      <w:r w:rsidR="00C92A32" w:rsidRPr="005504D6">
        <w:rPr>
          <w:rFonts w:cs="Arial"/>
          <w:b/>
          <w:spacing w:val="-3"/>
          <w:sz w:val="20"/>
        </w:rPr>
        <w:t>. godine:</w:t>
      </w:r>
    </w:p>
    <w:p w14:paraId="41BA941B" w14:textId="77777777" w:rsidR="00FB4D08" w:rsidRPr="00EC74E0" w:rsidRDefault="00FB4D08" w:rsidP="00FB4D08">
      <w:pPr>
        <w:jc w:val="both"/>
        <w:rPr>
          <w:spacing w:val="-3"/>
          <w:sz w:val="20"/>
        </w:rPr>
      </w:pPr>
    </w:p>
    <w:p w14:paraId="3914F557" w14:textId="739435AB" w:rsidR="00FB4D08" w:rsidRPr="00EC74E0" w:rsidRDefault="00081479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EC74E0">
        <w:rPr>
          <w:rFonts w:cs="Arial"/>
          <w:sz w:val="20"/>
        </w:rPr>
        <w:t>Nadzorni odbor HBOR-a donio je Strategiju poslovanja HBOR-a za razdoblje 2025.</w:t>
      </w:r>
      <w:r w:rsidR="002518BB">
        <w:rPr>
          <w:rFonts w:cs="Arial"/>
          <w:sz w:val="20"/>
        </w:rPr>
        <w:t xml:space="preserve"> </w:t>
      </w:r>
      <w:r w:rsidRPr="00EC74E0">
        <w:rPr>
          <w:rFonts w:cs="Arial"/>
          <w:sz w:val="20"/>
        </w:rPr>
        <w:t>-</w:t>
      </w:r>
      <w:r w:rsidR="002518BB">
        <w:rPr>
          <w:rFonts w:cs="Arial"/>
          <w:sz w:val="20"/>
        </w:rPr>
        <w:t xml:space="preserve"> </w:t>
      </w:r>
      <w:r w:rsidRPr="00EC74E0">
        <w:rPr>
          <w:rFonts w:cs="Arial"/>
          <w:sz w:val="20"/>
        </w:rPr>
        <w:t>2029. koja stupa na snagu 1. siječnja 2025. godine.</w:t>
      </w:r>
    </w:p>
    <w:p w14:paraId="0BAA16F6" w14:textId="77777777" w:rsidR="00081479" w:rsidRPr="00EC74E0" w:rsidRDefault="00081479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84E3F62" w14:textId="2D6485EF" w:rsidR="00FB4D08" w:rsidRPr="00EC74E0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EC74E0">
        <w:rPr>
          <w:rFonts w:eastAsia="Times New Roman" w:cs="Arial"/>
          <w:spacing w:val="-3"/>
          <w:sz w:val="20"/>
        </w:rPr>
        <w:t xml:space="preserve">HBOR je prilikom izrade Strategije 2025.-2029. koristio poslovni pristup i modele </w:t>
      </w:r>
      <w:r w:rsidRPr="00EC74E0">
        <w:rPr>
          <w:rFonts w:eastAsia="Times New Roman"/>
          <w:spacing w:val="-3"/>
          <w:sz w:val="20"/>
        </w:rPr>
        <w:t>PricewaterhouseCoopers</w:t>
      </w:r>
      <w:r w:rsidRPr="00EC74E0">
        <w:rPr>
          <w:rFonts w:eastAsia="Times New Roman" w:cs="Arial"/>
          <w:spacing w:val="-3"/>
          <w:sz w:val="20"/>
        </w:rPr>
        <w:t xml:space="preserve"> (PwC) koji su primijenjeni prilikom izrade Strategije 2020.</w:t>
      </w:r>
      <w:r w:rsidR="00EC74E0">
        <w:rPr>
          <w:rFonts w:eastAsia="Times New Roman" w:cs="Arial"/>
          <w:spacing w:val="-3"/>
          <w:sz w:val="20"/>
        </w:rPr>
        <w:t xml:space="preserve"> </w:t>
      </w:r>
      <w:r w:rsidRPr="00EC74E0">
        <w:rPr>
          <w:rFonts w:eastAsia="Times New Roman" w:cs="Arial"/>
          <w:spacing w:val="-3"/>
          <w:sz w:val="20"/>
        </w:rPr>
        <w:t xml:space="preserve">- 2024. osiguravajući time, osim objektivnosti, i mogućnost usporedbe rezultata HBOR-a tijekom dva uzastopna strateška razdoblja. </w:t>
      </w:r>
    </w:p>
    <w:p w14:paraId="5E1177AA" w14:textId="77777777" w:rsidR="00FB4D08" w:rsidRPr="00FB4D08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2CE26B51" w14:textId="77777777" w:rsidR="00FB4D08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B4D08">
        <w:rPr>
          <w:rFonts w:eastAsia="Times New Roman" w:cs="Arial"/>
          <w:spacing w:val="-3"/>
          <w:sz w:val="20"/>
        </w:rPr>
        <w:t>Strategija poslovanja HBOR-a za razdoblje 2025.-2029. predstavlja HBOR-ovu viziju poslovanja u novom strateškom razdoblju smjerom koji je usklađen s prioritetima Nacionalne razvojne strategije Republike Hrvatske do 2030. godine te koji je prilagođen vanjskom okruženju i makroekonomskim predviđanjima kao i rezultatima analize utvrđenih potreba javnog i privatnog sektora, ključnih područja djelovanja HBOR-a kao i onih segmenata gospodarstva za koje su utvrđeni tržišni nedostaci ili ih je potrebno dodatno podržati od strane HBOR-a.</w:t>
      </w:r>
    </w:p>
    <w:p w14:paraId="362664E3" w14:textId="77777777" w:rsidR="00FB4D08" w:rsidRPr="00FB4D08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053BDEAB" w14:textId="77777777" w:rsidR="00FB4D08" w:rsidRPr="00FB4D08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B4D08">
        <w:rPr>
          <w:rFonts w:eastAsia="Times New Roman" w:cs="Arial"/>
          <w:spacing w:val="-3"/>
          <w:sz w:val="20"/>
        </w:rPr>
        <w:t>HBOR je u Strategiju poslovanja uključio i preporuke iz projekta „Zaokret HBOR-ovih aktivnosti prema održivom financiranju i zelenoj tranziciji“ (Sustainable Finance projekt) koji je proveden uz financijsku podršku i suradnju s Europskom komisijom (DG REFORM</w:t>
      </w:r>
      <w:r w:rsidRPr="00533355">
        <w:rPr>
          <w:rFonts w:eastAsia="Times New Roman" w:cs="Arial"/>
          <w:spacing w:val="-3"/>
          <w:sz w:val="20"/>
          <w:vertAlign w:val="superscript"/>
        </w:rPr>
        <w:footnoteReference w:id="1"/>
      </w:r>
      <w:r w:rsidRPr="00FB4D08">
        <w:rPr>
          <w:rFonts w:eastAsia="Times New Roman" w:cs="Arial"/>
          <w:spacing w:val="-3"/>
          <w:sz w:val="20"/>
        </w:rPr>
        <w:t xml:space="preserve">). Na takav način, stavljanjem naglaska na okolišne, društvene i upravljačke (eng: Environmental, Social and Governance, dalje: ESG) čimbenike, Strategija poslovanja odražava HBOR-ovu ESG ambiciju. </w:t>
      </w:r>
    </w:p>
    <w:p w14:paraId="16FBEEC5" w14:textId="4909D366" w:rsidR="00FB4D08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B4D08">
        <w:rPr>
          <w:rFonts w:eastAsia="Times New Roman" w:cs="Arial"/>
          <w:spacing w:val="-3"/>
          <w:sz w:val="20"/>
        </w:rPr>
        <w:t>U novom strateškom razdoblju, HBOR će ostati posvećen svojoj viziji pokretača inovativnosti i održivog razvoja RH i svojoj misiji pružanja proaktivne potpore razvoju RH.</w:t>
      </w:r>
      <w:r>
        <w:rPr>
          <w:rFonts w:eastAsia="Times New Roman" w:cs="Arial"/>
          <w:spacing w:val="-3"/>
          <w:sz w:val="20"/>
        </w:rPr>
        <w:t xml:space="preserve"> </w:t>
      </w:r>
      <w:r w:rsidRPr="00FB4D08">
        <w:rPr>
          <w:rFonts w:eastAsia="Times New Roman" w:cs="Arial"/>
          <w:spacing w:val="-3"/>
          <w:sz w:val="20"/>
        </w:rPr>
        <w:t>HBOR će svojim poslovanjem aktivno doprinositi nacionalnim i EU ciljevima te klimatskim ciljevima utvrđenim Pariškim sporazumom kao i Ciljevima održivog razvoja UN-a te osigurati dugoročno održivo poslovanje HBOR-a.  </w:t>
      </w:r>
    </w:p>
    <w:p w14:paraId="66F7B86C" w14:textId="77777777" w:rsidR="00FB4D08" w:rsidRPr="00FB4D08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5A03AF6A" w14:textId="77777777" w:rsidR="00FB4D08" w:rsidRPr="00FB4D08" w:rsidRDefault="00FB4D08" w:rsidP="00FB4D0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B4D08">
        <w:rPr>
          <w:rFonts w:eastAsia="Times New Roman" w:cs="Arial"/>
          <w:spacing w:val="-3"/>
          <w:sz w:val="20"/>
        </w:rPr>
        <w:t xml:space="preserve">Strateški ciljevi definiraju ključna područja djelovanja HBOR-a, a strateški preduvjeti opisuju na koji način će se HBOR kao organizacija razvijati kako bi ostvario zadane ciljeve. </w:t>
      </w:r>
    </w:p>
    <w:p w14:paraId="5A6D6A05" w14:textId="77777777" w:rsidR="00FB4D08" w:rsidRPr="00FB4D08" w:rsidRDefault="00FB4D08" w:rsidP="00FB4D08">
      <w:pPr>
        <w:spacing w:after="0" w:line="240" w:lineRule="auto"/>
        <w:jc w:val="both"/>
        <w:textAlignment w:val="baseline"/>
        <w:rPr>
          <w:rFonts w:cs="Arial"/>
          <w:sz w:val="20"/>
        </w:rPr>
      </w:pPr>
    </w:p>
    <w:p w14:paraId="32892CF7" w14:textId="77777777" w:rsidR="00FB4D08" w:rsidRPr="00FB4D08" w:rsidRDefault="00FB4D08" w:rsidP="00FB4D08">
      <w:pPr>
        <w:jc w:val="both"/>
        <w:textAlignment w:val="baseline"/>
        <w:rPr>
          <w:rFonts w:cs="Arial"/>
          <w:b/>
          <w:bCs/>
          <w:sz w:val="20"/>
        </w:rPr>
      </w:pPr>
      <w:r w:rsidRPr="00FB4D08">
        <w:rPr>
          <w:rFonts w:cs="Arial"/>
          <w:b/>
          <w:bCs/>
          <w:sz w:val="20"/>
        </w:rPr>
        <w:t>Strateški ciljevi</w:t>
      </w:r>
    </w:p>
    <w:p w14:paraId="538ECFD4" w14:textId="77777777" w:rsidR="00FB4D08" w:rsidRPr="00FB4D08" w:rsidRDefault="00FB4D08" w:rsidP="00FB4D08">
      <w:pPr>
        <w:pStyle w:val="ListParagraph"/>
        <w:numPr>
          <w:ilvl w:val="0"/>
          <w:numId w:val="53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 xml:space="preserve">Poticanje razvoja tržišta rizičnog, vlasničkog i kvazi-vlasničkog kapitala u RH (skraćeno: Equity), </w:t>
      </w:r>
    </w:p>
    <w:p w14:paraId="28C7D886" w14:textId="77777777" w:rsidR="00FB4D08" w:rsidRPr="00FB4D08" w:rsidRDefault="00FB4D08" w:rsidP="00FB4D08">
      <w:pPr>
        <w:pStyle w:val="ListParagraph"/>
        <w:numPr>
          <w:ilvl w:val="0"/>
          <w:numId w:val="53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 xml:space="preserve">Poticanje gospodarski i društveno uravnoteženog i održivog regionalnog razvoja RH (skraćeno: Regionalni i društveni razvoj), </w:t>
      </w:r>
    </w:p>
    <w:p w14:paraId="15CA64B9" w14:textId="77777777" w:rsidR="00FB4D08" w:rsidRPr="00FB4D08" w:rsidRDefault="00FB4D08" w:rsidP="00FB4D08">
      <w:pPr>
        <w:pStyle w:val="ListParagraph"/>
        <w:numPr>
          <w:ilvl w:val="0"/>
          <w:numId w:val="53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 xml:space="preserve">Poticanje internacionalizacije hrvatskog gospodarstva (skraćeno: Internacionalizacija), </w:t>
      </w:r>
    </w:p>
    <w:p w14:paraId="1086D118" w14:textId="77777777" w:rsidR="00FB4D08" w:rsidRPr="00FB4D08" w:rsidRDefault="00FB4D08" w:rsidP="00FB4D08">
      <w:pPr>
        <w:pStyle w:val="ListParagraph"/>
        <w:numPr>
          <w:ilvl w:val="0"/>
          <w:numId w:val="53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 xml:space="preserve">Jačanje konkurentnosti i otpornosti hrvatskog gospodarstva (skraćeno: Konkurentnost i otpornost),   </w:t>
      </w:r>
    </w:p>
    <w:p w14:paraId="1F104EED" w14:textId="77777777" w:rsidR="00FB4D08" w:rsidRPr="00FB4D08" w:rsidRDefault="00FB4D08" w:rsidP="00FB4D08">
      <w:pPr>
        <w:pStyle w:val="ListParagraph"/>
        <w:numPr>
          <w:ilvl w:val="0"/>
          <w:numId w:val="53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>Poticanje zelene tranzicije RH (skraćeno: Zelena tranzicija).  </w:t>
      </w:r>
    </w:p>
    <w:p w14:paraId="4FB09F55" w14:textId="77777777" w:rsidR="00FB4D08" w:rsidRPr="00FB4D08" w:rsidRDefault="00FB4D08" w:rsidP="00FB4D08">
      <w:pPr>
        <w:spacing w:after="0" w:line="240" w:lineRule="auto"/>
        <w:jc w:val="both"/>
        <w:textAlignment w:val="baseline"/>
        <w:rPr>
          <w:rFonts w:cs="Arial"/>
          <w:sz w:val="20"/>
        </w:rPr>
      </w:pPr>
    </w:p>
    <w:p w14:paraId="45DD536D" w14:textId="77777777" w:rsidR="00FB4D08" w:rsidRPr="00FB4D08" w:rsidRDefault="00FB4D08" w:rsidP="00FB4D08">
      <w:pPr>
        <w:spacing w:line="240" w:lineRule="auto"/>
        <w:jc w:val="both"/>
        <w:textAlignment w:val="baseline"/>
        <w:rPr>
          <w:rFonts w:cs="Arial"/>
          <w:b/>
          <w:bCs/>
          <w:sz w:val="20"/>
        </w:rPr>
      </w:pPr>
      <w:r w:rsidRPr="00FB4D08">
        <w:rPr>
          <w:rFonts w:cs="Arial"/>
          <w:b/>
          <w:bCs/>
          <w:sz w:val="20"/>
        </w:rPr>
        <w:t>Strateški preduvjeti</w:t>
      </w:r>
    </w:p>
    <w:p w14:paraId="56D64461" w14:textId="77777777" w:rsidR="00FB4D08" w:rsidRPr="00FB4D08" w:rsidRDefault="00FB4D08" w:rsidP="00FB4D08">
      <w:pPr>
        <w:pStyle w:val="ListParagraph"/>
        <w:numPr>
          <w:ilvl w:val="0"/>
          <w:numId w:val="54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>Održivost,</w:t>
      </w:r>
    </w:p>
    <w:p w14:paraId="750A1786" w14:textId="77777777" w:rsidR="00FB4D08" w:rsidRPr="00FB4D08" w:rsidRDefault="00FB4D08" w:rsidP="00FB4D08">
      <w:pPr>
        <w:pStyle w:val="ListParagraph"/>
        <w:numPr>
          <w:ilvl w:val="0"/>
          <w:numId w:val="54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 xml:space="preserve">Aktivno i učinkovito korištenje nacionalnih, EU i drugih međunarodnih izvora sredstava, </w:t>
      </w:r>
    </w:p>
    <w:p w14:paraId="1F356B2A" w14:textId="77777777" w:rsidR="00FB4D08" w:rsidRPr="00FB4D08" w:rsidRDefault="00FB4D08" w:rsidP="00FB4D08">
      <w:pPr>
        <w:pStyle w:val="ListParagraph"/>
        <w:numPr>
          <w:ilvl w:val="0"/>
          <w:numId w:val="54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 xml:space="preserve">Fleksibilna i održiva organizacija s proaktivnim poslovnim pristupom, </w:t>
      </w:r>
    </w:p>
    <w:p w14:paraId="5F5CEAEB" w14:textId="77777777" w:rsidR="00FB4D08" w:rsidRPr="00FB4D08" w:rsidRDefault="00FB4D08" w:rsidP="00FB4D08">
      <w:pPr>
        <w:pStyle w:val="ListParagraph"/>
        <w:numPr>
          <w:ilvl w:val="0"/>
          <w:numId w:val="54"/>
        </w:numPr>
        <w:spacing w:after="0" w:line="240" w:lineRule="auto"/>
        <w:jc w:val="both"/>
        <w:textAlignment w:val="baseline"/>
        <w:rPr>
          <w:rFonts w:cs="Arial"/>
          <w:sz w:val="20"/>
        </w:rPr>
      </w:pPr>
      <w:r w:rsidRPr="00FB4D08">
        <w:rPr>
          <w:rFonts w:cs="Arial"/>
          <w:sz w:val="20"/>
        </w:rPr>
        <w:t>Proaktivna suradnja s dionicima u gospodarstvu i društvu.</w:t>
      </w:r>
    </w:p>
    <w:p w14:paraId="311F3E3E" w14:textId="77777777" w:rsidR="00FB4D08" w:rsidRPr="00FB4D08" w:rsidRDefault="00FB4D08" w:rsidP="00FB4D08">
      <w:pPr>
        <w:spacing w:before="120" w:after="120" w:line="240" w:lineRule="auto"/>
        <w:jc w:val="both"/>
        <w:rPr>
          <w:rFonts w:cs="Arial"/>
          <w:sz w:val="20"/>
        </w:rPr>
      </w:pPr>
      <w:r w:rsidRPr="00FB4D08">
        <w:rPr>
          <w:rFonts w:cs="Arial"/>
          <w:sz w:val="20"/>
        </w:rPr>
        <w:t xml:space="preserve">U okviru svakog strateškog cilja i preduvjeta definirana su ključna područja djelovanja s pripadajućim aktivnostima koje će HBOR provoditi tijekom idućeg strateškog razdoblja. </w:t>
      </w:r>
    </w:p>
    <w:p w14:paraId="16A393F6" w14:textId="77777777" w:rsidR="00FB4D08" w:rsidRPr="00FB4D08" w:rsidRDefault="00FB4D08" w:rsidP="00FB4D08">
      <w:pPr>
        <w:spacing w:before="120" w:after="120" w:line="240" w:lineRule="auto"/>
        <w:jc w:val="both"/>
        <w:rPr>
          <w:rFonts w:cs="Arial"/>
          <w:sz w:val="20"/>
        </w:rPr>
      </w:pPr>
      <w:r w:rsidRPr="00FB4D08">
        <w:rPr>
          <w:rFonts w:cs="Arial"/>
          <w:sz w:val="20"/>
        </w:rPr>
        <w:t>Uprava HBOR-a donosi plan ključnih aktivnosti za strateško razdoblje 2025. - 2029. kao i godišnje operativne planove u okviru kojih su definirane konkretne poslovne aktivnosti za svaki strateški cilj i preduvjet, kao i njihov vremenski tijek provedbe.</w:t>
      </w:r>
    </w:p>
    <w:p w14:paraId="1C700A21" w14:textId="77777777" w:rsidR="00FB4D08" w:rsidRDefault="00FB4D08" w:rsidP="00FB4D08">
      <w:pPr>
        <w:spacing w:before="120" w:after="120" w:line="240" w:lineRule="auto"/>
        <w:jc w:val="both"/>
        <w:rPr>
          <w:rFonts w:cs="Arial"/>
          <w:sz w:val="20"/>
        </w:rPr>
      </w:pPr>
      <w:r w:rsidRPr="00FB4D08">
        <w:rPr>
          <w:rFonts w:cs="Arial"/>
          <w:sz w:val="20"/>
        </w:rPr>
        <w:t>Strategija poslovanja podložna je revidiranju ako dođe do značajnih makroekonomskih i/ili regulatornih promjena, a redovito će biti evaluirana kako bi se utvrdilo jesu li predložene mjere efikasne i dovode li do ispunjenja strateških ciljeva, vizije i misije HBOR-a.</w:t>
      </w:r>
    </w:p>
    <w:p w14:paraId="6BE5A26A" w14:textId="77777777" w:rsidR="00152FE1" w:rsidRDefault="00152FE1" w:rsidP="00FB4D08">
      <w:pPr>
        <w:spacing w:before="120" w:after="120" w:line="240" w:lineRule="auto"/>
        <w:jc w:val="both"/>
        <w:rPr>
          <w:rFonts w:cs="Arial"/>
          <w:sz w:val="20"/>
        </w:rPr>
      </w:pPr>
    </w:p>
    <w:p w14:paraId="2651C119" w14:textId="56FA1766" w:rsidR="002F0C1D" w:rsidRPr="00FB4D08" w:rsidRDefault="002F0C1D" w:rsidP="002F0C1D">
      <w:pPr>
        <w:spacing w:after="0" w:line="240" w:lineRule="auto"/>
        <w:jc w:val="both"/>
        <w:rPr>
          <w:rFonts w:cs="Arial"/>
          <w:b/>
          <w:bCs/>
          <w:spacing w:val="-3"/>
          <w:sz w:val="20"/>
        </w:rPr>
      </w:pPr>
      <w:r w:rsidRPr="005504D6">
        <w:rPr>
          <w:rFonts w:cs="Arial"/>
          <w:b/>
          <w:bCs/>
          <w:spacing w:val="-3"/>
          <w:sz w:val="20"/>
        </w:rPr>
        <w:lastRenderedPageBreak/>
        <w:t>Na projicirana kretanja za raz</w:t>
      </w:r>
      <w:r w:rsidR="00437679" w:rsidRPr="005504D6">
        <w:rPr>
          <w:rFonts w:cs="Arial"/>
          <w:b/>
          <w:bCs/>
          <w:spacing w:val="-3"/>
          <w:sz w:val="20"/>
        </w:rPr>
        <w:t>doblje od 20</w:t>
      </w:r>
      <w:r w:rsidR="00480CDB" w:rsidRPr="005504D6">
        <w:rPr>
          <w:rFonts w:cs="Arial"/>
          <w:b/>
          <w:bCs/>
          <w:spacing w:val="-3"/>
          <w:sz w:val="20"/>
        </w:rPr>
        <w:t>2</w:t>
      </w:r>
      <w:r w:rsidR="007371A0">
        <w:rPr>
          <w:rFonts w:cs="Arial"/>
          <w:b/>
          <w:bCs/>
          <w:spacing w:val="-3"/>
          <w:sz w:val="20"/>
        </w:rPr>
        <w:t>5</w:t>
      </w:r>
      <w:r w:rsidR="00437679" w:rsidRPr="005504D6">
        <w:rPr>
          <w:rFonts w:cs="Arial"/>
          <w:b/>
          <w:bCs/>
          <w:spacing w:val="-3"/>
          <w:sz w:val="20"/>
        </w:rPr>
        <w:t>. do 202</w:t>
      </w:r>
      <w:r w:rsidR="007371A0">
        <w:rPr>
          <w:rFonts w:cs="Arial"/>
          <w:b/>
          <w:bCs/>
          <w:spacing w:val="-3"/>
          <w:sz w:val="20"/>
        </w:rPr>
        <w:t>7</w:t>
      </w:r>
      <w:r w:rsidRPr="005504D6">
        <w:rPr>
          <w:rFonts w:cs="Arial"/>
          <w:b/>
          <w:bCs/>
          <w:spacing w:val="-3"/>
          <w:sz w:val="20"/>
        </w:rPr>
        <w:t>. godine utjecale su sljedeće okolnosti:</w:t>
      </w:r>
    </w:p>
    <w:p w14:paraId="29699148" w14:textId="7D9E608F" w:rsidR="00697070" w:rsidRPr="00AA5FE6" w:rsidRDefault="00C92A32" w:rsidP="00E62069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5504D6">
        <w:rPr>
          <w:rFonts w:cs="Arial"/>
          <w:bCs/>
          <w:spacing w:val="-3"/>
          <w:sz w:val="20"/>
        </w:rPr>
        <w:t xml:space="preserve">planirane isplate po kreditnim </w:t>
      </w:r>
      <w:r w:rsidRPr="00C90BCB">
        <w:rPr>
          <w:rFonts w:cs="Arial"/>
          <w:bCs/>
          <w:spacing w:val="-3"/>
          <w:sz w:val="20"/>
        </w:rPr>
        <w:t xml:space="preserve">aktivnostima </w:t>
      </w:r>
      <w:r w:rsidR="00E75288" w:rsidRPr="00C90BCB">
        <w:rPr>
          <w:rFonts w:cs="Arial"/>
          <w:spacing w:val="-3"/>
          <w:sz w:val="20"/>
        </w:rPr>
        <w:t xml:space="preserve">iznose </w:t>
      </w:r>
      <w:r w:rsidR="00C90BCB" w:rsidRPr="00C90BCB">
        <w:rPr>
          <w:rFonts w:cs="Arial"/>
          <w:spacing w:val="-3"/>
          <w:sz w:val="20"/>
        </w:rPr>
        <w:t>2</w:t>
      </w:r>
      <w:r w:rsidR="00367897" w:rsidRPr="00C90BCB">
        <w:rPr>
          <w:rFonts w:cs="Arial"/>
          <w:spacing w:val="-3"/>
          <w:sz w:val="20"/>
        </w:rPr>
        <w:t>,</w:t>
      </w:r>
      <w:r w:rsidR="00D00E59">
        <w:rPr>
          <w:rFonts w:cs="Arial"/>
          <w:spacing w:val="-3"/>
          <w:sz w:val="20"/>
        </w:rPr>
        <w:t>3</w:t>
      </w:r>
      <w:r w:rsidR="00E75288" w:rsidRPr="00C90BCB">
        <w:rPr>
          <w:rFonts w:cs="Arial"/>
          <w:spacing w:val="-3"/>
          <w:sz w:val="20"/>
        </w:rPr>
        <w:t xml:space="preserve"> milijard</w:t>
      </w:r>
      <w:r w:rsidR="00D51EC3" w:rsidRPr="00C90BCB">
        <w:rPr>
          <w:rFonts w:cs="Arial"/>
          <w:spacing w:val="-3"/>
          <w:sz w:val="20"/>
        </w:rPr>
        <w:t>i</w:t>
      </w:r>
      <w:r w:rsidR="00E75288" w:rsidRPr="00C90BCB">
        <w:rPr>
          <w:rFonts w:cs="Arial"/>
          <w:spacing w:val="-3"/>
          <w:sz w:val="20"/>
        </w:rPr>
        <w:t xml:space="preserve"> </w:t>
      </w:r>
      <w:r w:rsidR="00D51EC3" w:rsidRPr="00C90BCB">
        <w:rPr>
          <w:rFonts w:cs="Arial"/>
          <w:spacing w:val="-3"/>
          <w:sz w:val="20"/>
        </w:rPr>
        <w:t>eura</w:t>
      </w:r>
      <w:r w:rsidR="00E75288" w:rsidRPr="00C90BCB">
        <w:rPr>
          <w:rFonts w:cs="Arial"/>
          <w:spacing w:val="-3"/>
          <w:sz w:val="20"/>
        </w:rPr>
        <w:t xml:space="preserve"> (</w:t>
      </w:r>
      <w:r w:rsidR="00EF4E2A">
        <w:rPr>
          <w:rFonts w:cs="Arial"/>
          <w:spacing w:val="-3"/>
          <w:sz w:val="20"/>
        </w:rPr>
        <w:t>7</w:t>
      </w:r>
      <w:r w:rsidR="00D00E59">
        <w:rPr>
          <w:rFonts w:cs="Arial"/>
          <w:spacing w:val="-3"/>
          <w:sz w:val="20"/>
        </w:rPr>
        <w:t>67</w:t>
      </w:r>
      <w:r w:rsidR="00D51EC3" w:rsidRPr="00C90BCB">
        <w:rPr>
          <w:rFonts w:cs="Arial"/>
          <w:spacing w:val="-3"/>
          <w:sz w:val="20"/>
        </w:rPr>
        <w:t xml:space="preserve"> milijuna eura </w:t>
      </w:r>
      <w:r w:rsidRPr="00C90BCB">
        <w:rPr>
          <w:rFonts w:cs="Arial"/>
          <w:spacing w:val="-3"/>
          <w:sz w:val="20"/>
        </w:rPr>
        <w:t xml:space="preserve">prosječno </w:t>
      </w:r>
      <w:r w:rsidRPr="00AA5FE6">
        <w:rPr>
          <w:rFonts w:cs="Arial"/>
          <w:spacing w:val="-3"/>
          <w:sz w:val="20"/>
        </w:rPr>
        <w:t>godišnje</w:t>
      </w:r>
      <w:r w:rsidR="00AA5FE6" w:rsidRPr="00AA5FE6">
        <w:rPr>
          <w:rFonts w:cs="Arial"/>
          <w:spacing w:val="-3"/>
          <w:sz w:val="20"/>
        </w:rPr>
        <w:t>)</w:t>
      </w:r>
    </w:p>
    <w:p w14:paraId="51F74FA5" w14:textId="403AEA47" w:rsidR="00697070" w:rsidRPr="00AA5FE6" w:rsidRDefault="00C92A32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AA5FE6">
        <w:rPr>
          <w:rFonts w:cs="Arial"/>
          <w:bCs/>
          <w:spacing w:val="-3"/>
          <w:sz w:val="20"/>
        </w:rPr>
        <w:t xml:space="preserve">planirano zaduženje </w:t>
      </w:r>
      <w:r w:rsidRPr="00AA5FE6">
        <w:rPr>
          <w:rFonts w:cs="Arial"/>
          <w:spacing w:val="-3"/>
          <w:sz w:val="20"/>
        </w:rPr>
        <w:t xml:space="preserve">iznosi </w:t>
      </w:r>
      <w:r w:rsidR="00D65164" w:rsidRPr="00AA5FE6">
        <w:rPr>
          <w:rFonts w:cs="Arial"/>
          <w:bCs/>
          <w:spacing w:val="-3"/>
          <w:sz w:val="20"/>
        </w:rPr>
        <w:t>1</w:t>
      </w:r>
      <w:r w:rsidR="004D5F15" w:rsidRPr="00AA5FE6">
        <w:rPr>
          <w:rFonts w:cs="Arial"/>
          <w:bCs/>
          <w:spacing w:val="-3"/>
          <w:sz w:val="20"/>
        </w:rPr>
        <w:t>,</w:t>
      </w:r>
      <w:r w:rsidR="00D00E59" w:rsidRPr="00AA5FE6">
        <w:rPr>
          <w:rFonts w:cs="Arial"/>
          <w:bCs/>
          <w:spacing w:val="-3"/>
          <w:sz w:val="20"/>
        </w:rPr>
        <w:t>1</w:t>
      </w:r>
      <w:r w:rsidR="004D5F15" w:rsidRPr="00AA5FE6">
        <w:rPr>
          <w:rFonts w:cs="Arial"/>
          <w:bCs/>
          <w:spacing w:val="-3"/>
          <w:sz w:val="20"/>
        </w:rPr>
        <w:t xml:space="preserve"> </w:t>
      </w:r>
      <w:r w:rsidRPr="00AA5FE6">
        <w:rPr>
          <w:rFonts w:cs="Arial"/>
          <w:bCs/>
          <w:spacing w:val="-3"/>
          <w:sz w:val="20"/>
        </w:rPr>
        <w:t>milijard</w:t>
      </w:r>
      <w:r w:rsidR="0054799B" w:rsidRPr="00AA5FE6">
        <w:rPr>
          <w:rFonts w:cs="Arial"/>
          <w:bCs/>
          <w:spacing w:val="-3"/>
          <w:sz w:val="20"/>
        </w:rPr>
        <w:t>a</w:t>
      </w:r>
      <w:r w:rsidRPr="00AA5FE6">
        <w:rPr>
          <w:rFonts w:cs="Arial"/>
          <w:bCs/>
          <w:spacing w:val="-3"/>
          <w:sz w:val="20"/>
        </w:rPr>
        <w:t xml:space="preserve"> </w:t>
      </w:r>
      <w:r w:rsidR="004D5F15" w:rsidRPr="00AA5FE6">
        <w:rPr>
          <w:rFonts w:cs="Arial"/>
          <w:bCs/>
          <w:spacing w:val="-3"/>
          <w:sz w:val="20"/>
        </w:rPr>
        <w:t>eura</w:t>
      </w:r>
      <w:r w:rsidR="000E4BA5" w:rsidRPr="00AA5FE6">
        <w:rPr>
          <w:rFonts w:cs="Arial"/>
          <w:bCs/>
          <w:spacing w:val="-3"/>
          <w:sz w:val="20"/>
        </w:rPr>
        <w:t xml:space="preserve"> </w:t>
      </w:r>
      <w:r w:rsidR="000E4BA5" w:rsidRPr="00AA5FE6">
        <w:rPr>
          <w:rFonts w:cs="Arial"/>
          <w:spacing w:val="-3"/>
          <w:sz w:val="20"/>
        </w:rPr>
        <w:t>(</w:t>
      </w:r>
      <w:r w:rsidR="00D00E59" w:rsidRPr="00AA5FE6">
        <w:rPr>
          <w:rFonts w:cs="Arial"/>
          <w:spacing w:val="-3"/>
          <w:sz w:val="20"/>
        </w:rPr>
        <w:t>380</w:t>
      </w:r>
      <w:r w:rsidR="000E4BA5" w:rsidRPr="00AA5FE6">
        <w:rPr>
          <w:rFonts w:cs="Arial"/>
          <w:spacing w:val="-3"/>
          <w:sz w:val="20"/>
        </w:rPr>
        <w:t xml:space="preserve"> milijuna eura prosječno godišnje</w:t>
      </w:r>
      <w:r w:rsidR="00AA5FE6" w:rsidRPr="00AA5FE6">
        <w:rPr>
          <w:rFonts w:cs="Arial"/>
          <w:spacing w:val="-3"/>
          <w:sz w:val="20"/>
        </w:rPr>
        <w:t>)</w:t>
      </w:r>
    </w:p>
    <w:p w14:paraId="17B75AA4" w14:textId="16DA0991" w:rsidR="007B7FD0" w:rsidRPr="00AA5FE6" w:rsidRDefault="007648DD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AA5FE6">
        <w:rPr>
          <w:rFonts w:cs="Arial"/>
          <w:bCs/>
          <w:spacing w:val="-3"/>
          <w:sz w:val="20"/>
        </w:rPr>
        <w:t xml:space="preserve">otplate zaduženja </w:t>
      </w:r>
      <w:r w:rsidR="000E4BA5" w:rsidRPr="00AA5FE6">
        <w:rPr>
          <w:rFonts w:cs="Arial"/>
          <w:bCs/>
          <w:spacing w:val="-3"/>
          <w:sz w:val="20"/>
        </w:rPr>
        <w:t xml:space="preserve">(glavnica i kamata) </w:t>
      </w:r>
      <w:r w:rsidRPr="00AA5FE6">
        <w:rPr>
          <w:rFonts w:cs="Arial"/>
          <w:bCs/>
          <w:spacing w:val="-3"/>
          <w:sz w:val="20"/>
        </w:rPr>
        <w:t xml:space="preserve">iznose </w:t>
      </w:r>
      <w:r w:rsidR="002A3ECF">
        <w:rPr>
          <w:rFonts w:cs="Arial"/>
          <w:bCs/>
          <w:spacing w:val="-3"/>
          <w:sz w:val="20"/>
        </w:rPr>
        <w:t>1,2 milijarda eura</w:t>
      </w:r>
      <w:r w:rsidR="00A87AD8" w:rsidRPr="00AA5FE6">
        <w:rPr>
          <w:rFonts w:cs="Arial"/>
          <w:bCs/>
          <w:spacing w:val="-3"/>
          <w:sz w:val="20"/>
        </w:rPr>
        <w:t xml:space="preserve"> (</w:t>
      </w:r>
      <w:r w:rsidR="002A3ECF">
        <w:rPr>
          <w:rFonts w:cs="Arial"/>
          <w:spacing w:val="-3"/>
          <w:sz w:val="20"/>
        </w:rPr>
        <w:t>416</w:t>
      </w:r>
      <w:r w:rsidR="002A3ECF" w:rsidRPr="00AA5FE6">
        <w:rPr>
          <w:rFonts w:cs="Arial"/>
          <w:spacing w:val="-3"/>
          <w:sz w:val="20"/>
        </w:rPr>
        <w:t xml:space="preserve"> </w:t>
      </w:r>
      <w:r w:rsidR="000E4BA5" w:rsidRPr="00AA5FE6">
        <w:rPr>
          <w:rFonts w:cs="Arial"/>
          <w:spacing w:val="-3"/>
          <w:sz w:val="20"/>
        </w:rPr>
        <w:t>milijuna eura prosječno godišnje</w:t>
      </w:r>
      <w:r w:rsidR="00AA5FE6" w:rsidRPr="00AA5FE6">
        <w:rPr>
          <w:rFonts w:cs="Arial"/>
          <w:spacing w:val="-3"/>
          <w:sz w:val="20"/>
        </w:rPr>
        <w:t>)</w:t>
      </w:r>
      <w:r w:rsidR="000E4BA5" w:rsidRPr="00AA5FE6">
        <w:rPr>
          <w:rFonts w:cs="Arial"/>
          <w:spacing w:val="-3"/>
          <w:sz w:val="20"/>
        </w:rPr>
        <w:t xml:space="preserve"> </w:t>
      </w:r>
    </w:p>
    <w:p w14:paraId="221864EF" w14:textId="14612D63" w:rsidR="00697070" w:rsidRPr="00AA5FE6" w:rsidRDefault="00C92A32" w:rsidP="00E237BC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spacing w:val="-3"/>
          <w:sz w:val="20"/>
        </w:rPr>
      </w:pPr>
      <w:r w:rsidRPr="00AA5FE6">
        <w:rPr>
          <w:rFonts w:cs="Arial"/>
          <w:bCs/>
          <w:spacing w:val="-3"/>
          <w:sz w:val="20"/>
        </w:rPr>
        <w:t xml:space="preserve">planirana rezerva likvidnosti prosječno godišnje iznosi </w:t>
      </w:r>
      <w:r w:rsidR="00B2419C" w:rsidRPr="00AA5FE6">
        <w:rPr>
          <w:rFonts w:cs="Arial"/>
          <w:bCs/>
          <w:spacing w:val="-3"/>
          <w:sz w:val="20"/>
        </w:rPr>
        <w:t>4</w:t>
      </w:r>
      <w:r w:rsidR="00E237BC" w:rsidRPr="00AA5FE6">
        <w:rPr>
          <w:rFonts w:cs="Arial"/>
          <w:bCs/>
          <w:spacing w:val="-3"/>
          <w:sz w:val="20"/>
        </w:rPr>
        <w:t>36</w:t>
      </w:r>
      <w:r w:rsidR="004D5F15" w:rsidRPr="00AA5FE6">
        <w:rPr>
          <w:rFonts w:cs="Arial"/>
          <w:bCs/>
          <w:spacing w:val="-3"/>
          <w:sz w:val="20"/>
        </w:rPr>
        <w:t xml:space="preserve"> milijuna eura </w:t>
      </w:r>
      <w:r w:rsidR="007648DD" w:rsidRPr="00AA5FE6">
        <w:rPr>
          <w:rFonts w:cs="Arial"/>
          <w:spacing w:val="-3"/>
          <w:sz w:val="20"/>
        </w:rPr>
        <w:t>(</w:t>
      </w:r>
      <w:r w:rsidR="009C50D4" w:rsidRPr="00AA5FE6">
        <w:rPr>
          <w:rFonts w:cs="Arial"/>
          <w:spacing w:val="-3"/>
          <w:sz w:val="20"/>
        </w:rPr>
        <w:t>1</w:t>
      </w:r>
      <w:r w:rsidR="004D5F15" w:rsidRPr="00AA5FE6">
        <w:rPr>
          <w:rFonts w:cs="Arial"/>
          <w:spacing w:val="-3"/>
          <w:sz w:val="20"/>
        </w:rPr>
        <w:t>0</w:t>
      </w:r>
      <w:r w:rsidRPr="00AA5FE6">
        <w:rPr>
          <w:rFonts w:cs="Arial"/>
          <w:spacing w:val="-3"/>
          <w:sz w:val="20"/>
        </w:rPr>
        <w:t>% neto i</w:t>
      </w:r>
      <w:r w:rsidR="00582D67" w:rsidRPr="00AA5FE6">
        <w:rPr>
          <w:rFonts w:cs="Arial"/>
          <w:spacing w:val="-3"/>
          <w:sz w:val="20"/>
        </w:rPr>
        <w:t>movine</w:t>
      </w:r>
      <w:r w:rsidR="00AA5FE6" w:rsidRPr="00AA5FE6">
        <w:rPr>
          <w:rFonts w:cs="Arial"/>
          <w:spacing w:val="-3"/>
          <w:sz w:val="20"/>
        </w:rPr>
        <w:t>)</w:t>
      </w:r>
    </w:p>
    <w:p w14:paraId="13F44082" w14:textId="1EF47C24" w:rsidR="00D40948" w:rsidRPr="00AA5FE6" w:rsidRDefault="00C92A32" w:rsidP="00401F3D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="Arial"/>
          <w:bCs/>
          <w:spacing w:val="-3"/>
          <w:sz w:val="20"/>
        </w:rPr>
      </w:pPr>
      <w:r w:rsidRPr="00AA5FE6">
        <w:rPr>
          <w:rFonts w:cs="Arial"/>
          <w:spacing w:val="-3"/>
          <w:sz w:val="20"/>
        </w:rPr>
        <w:t xml:space="preserve">planirana uplata u </w:t>
      </w:r>
      <w:r w:rsidRPr="00AA5FE6">
        <w:rPr>
          <w:rFonts w:cs="Arial"/>
          <w:bCs/>
          <w:spacing w:val="-3"/>
          <w:sz w:val="20"/>
        </w:rPr>
        <w:t xml:space="preserve">osnivački kapital </w:t>
      </w:r>
      <w:r w:rsidR="007F0E10" w:rsidRPr="00AA5FE6">
        <w:rPr>
          <w:rFonts w:cs="Arial"/>
          <w:bCs/>
          <w:spacing w:val="-3"/>
          <w:sz w:val="20"/>
        </w:rPr>
        <w:t>za razdoblje od 202</w:t>
      </w:r>
      <w:r w:rsidR="007371A0" w:rsidRPr="00AA5FE6">
        <w:rPr>
          <w:rFonts w:cs="Arial"/>
          <w:bCs/>
          <w:spacing w:val="-3"/>
          <w:sz w:val="20"/>
        </w:rPr>
        <w:t>5</w:t>
      </w:r>
      <w:r w:rsidR="007F0E10" w:rsidRPr="00AA5FE6">
        <w:rPr>
          <w:rFonts w:cs="Arial"/>
          <w:bCs/>
          <w:spacing w:val="-3"/>
          <w:sz w:val="20"/>
        </w:rPr>
        <w:t>. do 202</w:t>
      </w:r>
      <w:r w:rsidR="007371A0" w:rsidRPr="00AA5FE6">
        <w:rPr>
          <w:rFonts w:cs="Arial"/>
          <w:bCs/>
          <w:spacing w:val="-3"/>
          <w:sz w:val="20"/>
        </w:rPr>
        <w:t>7</w:t>
      </w:r>
      <w:r w:rsidR="007F0E10" w:rsidRPr="00AA5FE6">
        <w:rPr>
          <w:rFonts w:cs="Arial"/>
          <w:bCs/>
          <w:spacing w:val="-3"/>
          <w:sz w:val="20"/>
        </w:rPr>
        <w:t xml:space="preserve">. godine </w:t>
      </w:r>
      <w:r w:rsidR="004127D0" w:rsidRPr="00AA5FE6">
        <w:rPr>
          <w:rFonts w:cs="Arial"/>
          <w:spacing w:val="-3"/>
          <w:sz w:val="20"/>
        </w:rPr>
        <w:t xml:space="preserve">iznosi </w:t>
      </w:r>
      <w:r w:rsidR="006035A0" w:rsidRPr="00AA5FE6">
        <w:rPr>
          <w:rFonts w:cs="Arial"/>
          <w:spacing w:val="-3"/>
          <w:sz w:val="20"/>
        </w:rPr>
        <w:t>1</w:t>
      </w:r>
      <w:r w:rsidR="00E237BC" w:rsidRPr="00AA5FE6">
        <w:rPr>
          <w:rFonts w:cs="Arial"/>
          <w:spacing w:val="-3"/>
          <w:sz w:val="20"/>
        </w:rPr>
        <w:t>5</w:t>
      </w:r>
      <w:r w:rsidRPr="00AA5FE6">
        <w:rPr>
          <w:rFonts w:cs="Arial"/>
          <w:spacing w:val="-3"/>
          <w:sz w:val="20"/>
        </w:rPr>
        <w:t>,</w:t>
      </w:r>
      <w:r w:rsidR="006D4F7C" w:rsidRPr="00AA5FE6">
        <w:rPr>
          <w:rFonts w:cs="Arial"/>
          <w:spacing w:val="-3"/>
          <w:sz w:val="20"/>
        </w:rPr>
        <w:t>0</w:t>
      </w:r>
      <w:r w:rsidRPr="00AA5FE6">
        <w:rPr>
          <w:rFonts w:cs="Arial"/>
          <w:spacing w:val="-3"/>
          <w:sz w:val="20"/>
        </w:rPr>
        <w:t xml:space="preserve"> milijuna </w:t>
      </w:r>
      <w:r w:rsidR="006035A0" w:rsidRPr="00AA5FE6">
        <w:rPr>
          <w:rFonts w:cs="Arial"/>
          <w:spacing w:val="-3"/>
          <w:sz w:val="20"/>
        </w:rPr>
        <w:t>eura</w:t>
      </w:r>
      <w:r w:rsidR="004C06C7" w:rsidRPr="00AA5FE6">
        <w:rPr>
          <w:rFonts w:cs="Arial"/>
          <w:spacing w:val="-3"/>
          <w:sz w:val="20"/>
        </w:rPr>
        <w:t>.</w:t>
      </w:r>
      <w:r w:rsidR="007F0E10" w:rsidRPr="00AA5FE6">
        <w:rPr>
          <w:rFonts w:cs="Arial"/>
          <w:spacing w:val="-3"/>
          <w:sz w:val="20"/>
        </w:rPr>
        <w:t xml:space="preserve"> </w:t>
      </w:r>
    </w:p>
    <w:p w14:paraId="458183EC" w14:textId="77777777" w:rsidR="004C06C7" w:rsidRPr="004C06C7" w:rsidRDefault="004C06C7" w:rsidP="004C06C7">
      <w:pPr>
        <w:spacing w:after="0" w:line="240" w:lineRule="auto"/>
        <w:ind w:left="709"/>
        <w:jc w:val="both"/>
        <w:rPr>
          <w:rFonts w:cs="Arial"/>
          <w:bCs/>
          <w:spacing w:val="-3"/>
          <w:sz w:val="20"/>
        </w:rPr>
      </w:pPr>
    </w:p>
    <w:p w14:paraId="1C5B7227" w14:textId="77777777" w:rsidR="00D40948" w:rsidRPr="005504D6" w:rsidRDefault="00D40948" w:rsidP="00D40948">
      <w:pPr>
        <w:spacing w:after="0" w:line="240" w:lineRule="auto"/>
        <w:jc w:val="both"/>
        <w:rPr>
          <w:rFonts w:cs="Arial"/>
          <w:b/>
          <w:bCs/>
          <w:spacing w:val="-3"/>
          <w:sz w:val="20"/>
        </w:rPr>
      </w:pPr>
      <w:r w:rsidRPr="005504D6">
        <w:rPr>
          <w:rFonts w:cs="Arial"/>
          <w:b/>
          <w:bCs/>
          <w:spacing w:val="-3"/>
          <w:sz w:val="20"/>
        </w:rPr>
        <w:t>Prihodi od kamata</w:t>
      </w:r>
      <w:r w:rsidR="00C92A32" w:rsidRPr="005504D6">
        <w:rPr>
          <w:rFonts w:cs="Arial"/>
          <w:b/>
          <w:bCs/>
          <w:spacing w:val="-3"/>
          <w:sz w:val="20"/>
        </w:rPr>
        <w:t>:</w:t>
      </w:r>
    </w:p>
    <w:p w14:paraId="7B36FB1C" w14:textId="35DC53E3" w:rsidR="00D40948" w:rsidRPr="005504D6" w:rsidRDefault="0020711B" w:rsidP="00A408DE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="Arial"/>
          <w:bCs/>
          <w:spacing w:val="-3"/>
          <w:sz w:val="20"/>
        </w:rPr>
      </w:pPr>
      <w:r w:rsidRPr="005504D6">
        <w:rPr>
          <w:rFonts w:cs="Arial"/>
          <w:bCs/>
          <w:spacing w:val="-3"/>
          <w:sz w:val="20"/>
        </w:rPr>
        <w:t>p</w:t>
      </w:r>
      <w:r w:rsidR="00CA2481" w:rsidRPr="005504D6">
        <w:rPr>
          <w:rFonts w:cs="Arial"/>
          <w:bCs/>
          <w:spacing w:val="-3"/>
          <w:sz w:val="20"/>
        </w:rPr>
        <w:t xml:space="preserve">rosječno </w:t>
      </w:r>
      <w:r w:rsidRPr="005504D6">
        <w:rPr>
          <w:rFonts w:cs="Arial"/>
          <w:bCs/>
          <w:spacing w:val="-3"/>
          <w:sz w:val="20"/>
        </w:rPr>
        <w:t xml:space="preserve">godišnje iznose </w:t>
      </w:r>
      <w:r w:rsidR="002A4A43">
        <w:rPr>
          <w:rFonts w:cs="Arial"/>
          <w:bCs/>
          <w:spacing w:val="-3"/>
          <w:sz w:val="20"/>
        </w:rPr>
        <w:t>1</w:t>
      </w:r>
      <w:r w:rsidR="00945291">
        <w:rPr>
          <w:rFonts w:cs="Arial"/>
          <w:bCs/>
          <w:spacing w:val="-3"/>
          <w:sz w:val="20"/>
        </w:rPr>
        <w:t>35</w:t>
      </w:r>
      <w:r w:rsidR="00485B88">
        <w:rPr>
          <w:rFonts w:cs="Arial"/>
          <w:bCs/>
          <w:spacing w:val="-3"/>
          <w:sz w:val="20"/>
        </w:rPr>
        <w:t>,</w:t>
      </w:r>
      <w:r w:rsidR="00945291">
        <w:rPr>
          <w:rFonts w:cs="Arial"/>
          <w:bCs/>
          <w:spacing w:val="-3"/>
          <w:sz w:val="20"/>
        </w:rPr>
        <w:t>2</w:t>
      </w:r>
      <w:r w:rsidR="00485B88">
        <w:rPr>
          <w:rFonts w:cs="Arial"/>
          <w:bCs/>
          <w:spacing w:val="-3"/>
          <w:sz w:val="20"/>
        </w:rPr>
        <w:t xml:space="preserve"> </w:t>
      </w:r>
      <w:r w:rsidRPr="005504D6">
        <w:rPr>
          <w:rFonts w:cs="Arial"/>
          <w:bCs/>
          <w:spacing w:val="-3"/>
          <w:sz w:val="20"/>
        </w:rPr>
        <w:t>milijun</w:t>
      </w:r>
      <w:r w:rsidR="00AA5FE6">
        <w:rPr>
          <w:rFonts w:cs="Arial"/>
          <w:bCs/>
          <w:spacing w:val="-3"/>
          <w:sz w:val="20"/>
        </w:rPr>
        <w:t>,</w:t>
      </w:r>
      <w:r w:rsidRPr="005504D6">
        <w:rPr>
          <w:rFonts w:cs="Arial"/>
          <w:bCs/>
          <w:spacing w:val="-3"/>
          <w:sz w:val="20"/>
        </w:rPr>
        <w:t xml:space="preserve"> </w:t>
      </w:r>
      <w:r w:rsidR="007A3470" w:rsidRPr="005504D6">
        <w:rPr>
          <w:rFonts w:cs="Arial"/>
          <w:bCs/>
          <w:spacing w:val="-3"/>
          <w:sz w:val="20"/>
        </w:rPr>
        <w:t xml:space="preserve">a </w:t>
      </w:r>
      <w:r w:rsidRPr="005504D6">
        <w:rPr>
          <w:rFonts w:cs="Arial"/>
          <w:bCs/>
          <w:spacing w:val="-3"/>
          <w:sz w:val="20"/>
        </w:rPr>
        <w:t>rezultat</w:t>
      </w:r>
      <w:r w:rsidR="007A3470" w:rsidRPr="005504D6">
        <w:rPr>
          <w:rFonts w:cs="Arial"/>
          <w:bCs/>
          <w:spacing w:val="-3"/>
          <w:sz w:val="20"/>
        </w:rPr>
        <w:t xml:space="preserve"> je</w:t>
      </w:r>
      <w:r w:rsidR="004D7017">
        <w:rPr>
          <w:rFonts w:cs="Arial"/>
          <w:bCs/>
          <w:spacing w:val="-3"/>
          <w:sz w:val="20"/>
        </w:rPr>
        <w:t xml:space="preserve"> rasta kreditnih aktiv</w:t>
      </w:r>
      <w:r w:rsidR="00CF3D2E">
        <w:rPr>
          <w:rFonts w:cs="Arial"/>
          <w:bCs/>
          <w:spacing w:val="-3"/>
          <w:sz w:val="20"/>
        </w:rPr>
        <w:t>n</w:t>
      </w:r>
      <w:r w:rsidR="004D7017">
        <w:rPr>
          <w:rFonts w:cs="Arial"/>
          <w:bCs/>
          <w:spacing w:val="-3"/>
          <w:sz w:val="20"/>
        </w:rPr>
        <w:t>osti</w:t>
      </w:r>
      <w:r w:rsidR="004C06C7">
        <w:rPr>
          <w:rFonts w:cs="Arial"/>
          <w:bCs/>
          <w:spacing w:val="-3"/>
          <w:sz w:val="20"/>
        </w:rPr>
        <w:t>.</w:t>
      </w:r>
    </w:p>
    <w:p w14:paraId="1222225D" w14:textId="77777777" w:rsidR="00374307" w:rsidRPr="005504D6" w:rsidRDefault="00374307" w:rsidP="00374307">
      <w:pPr>
        <w:pStyle w:val="ListParagraph"/>
        <w:spacing w:after="0" w:line="240" w:lineRule="auto"/>
        <w:jc w:val="both"/>
        <w:rPr>
          <w:rFonts w:cs="Arial"/>
          <w:bCs/>
          <w:spacing w:val="-3"/>
          <w:sz w:val="20"/>
        </w:rPr>
      </w:pPr>
    </w:p>
    <w:p w14:paraId="19CDC098" w14:textId="77777777" w:rsidR="00CC12AA" w:rsidRPr="005504D6" w:rsidRDefault="00CC12AA" w:rsidP="007125F8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5504D6">
        <w:rPr>
          <w:rFonts w:cs="Arial"/>
          <w:b/>
          <w:bCs/>
          <w:spacing w:val="-3"/>
          <w:sz w:val="20"/>
        </w:rPr>
        <w:t>Rashodi od kamata</w:t>
      </w:r>
      <w:r w:rsidR="00C92A32" w:rsidRPr="005504D6">
        <w:rPr>
          <w:rFonts w:cs="Arial"/>
          <w:b/>
          <w:bCs/>
          <w:spacing w:val="-3"/>
          <w:sz w:val="20"/>
        </w:rPr>
        <w:t>:</w:t>
      </w:r>
    </w:p>
    <w:p w14:paraId="2452F1C3" w14:textId="4633C6A9" w:rsidR="00EB1185" w:rsidRPr="002A3ECF" w:rsidRDefault="00C92A32" w:rsidP="00DA1E5D">
      <w:pPr>
        <w:pStyle w:val="ListParagraph"/>
        <w:numPr>
          <w:ilvl w:val="0"/>
          <w:numId w:val="55"/>
        </w:numPr>
      </w:pPr>
      <w:r w:rsidRPr="00DA1E5D">
        <w:rPr>
          <w:rFonts w:cs="Arial"/>
          <w:spacing w:val="-3"/>
          <w:sz w:val="20"/>
        </w:rPr>
        <w:t>prosječni godišnji izn</w:t>
      </w:r>
      <w:r w:rsidR="00CA2481" w:rsidRPr="00DA1E5D">
        <w:rPr>
          <w:rFonts w:cs="Arial"/>
          <w:spacing w:val="-3"/>
          <w:sz w:val="20"/>
        </w:rPr>
        <w:t>os rashoda od kamata iznosi</w:t>
      </w:r>
      <w:r w:rsidR="00447B2E" w:rsidRPr="00DA1E5D">
        <w:rPr>
          <w:rFonts w:cs="Arial"/>
          <w:spacing w:val="-3"/>
          <w:sz w:val="20"/>
        </w:rPr>
        <w:t xml:space="preserve"> </w:t>
      </w:r>
      <w:r w:rsidR="002A4A43" w:rsidRPr="00DA1E5D">
        <w:rPr>
          <w:rFonts w:cs="Arial"/>
          <w:spacing w:val="-3"/>
          <w:sz w:val="20"/>
        </w:rPr>
        <w:t>5</w:t>
      </w:r>
      <w:r w:rsidR="00945291" w:rsidRPr="00DA1E5D">
        <w:rPr>
          <w:rFonts w:cs="Arial"/>
          <w:spacing w:val="-3"/>
          <w:sz w:val="20"/>
        </w:rPr>
        <w:t>9</w:t>
      </w:r>
      <w:r w:rsidR="00431209" w:rsidRPr="00DA1E5D">
        <w:rPr>
          <w:rFonts w:cs="Arial"/>
          <w:spacing w:val="-3"/>
          <w:sz w:val="20"/>
        </w:rPr>
        <w:t>,</w:t>
      </w:r>
      <w:r w:rsidR="00945291" w:rsidRPr="00DA1E5D">
        <w:rPr>
          <w:rFonts w:cs="Arial"/>
          <w:spacing w:val="-3"/>
          <w:sz w:val="20"/>
        </w:rPr>
        <w:t>9</w:t>
      </w:r>
      <w:r w:rsidR="00CA2481" w:rsidRPr="00DA1E5D">
        <w:rPr>
          <w:rFonts w:cs="Arial"/>
          <w:spacing w:val="-3"/>
          <w:sz w:val="20"/>
        </w:rPr>
        <w:t xml:space="preserve"> milijuna </w:t>
      </w:r>
      <w:r w:rsidR="00C0433E" w:rsidRPr="00DA1E5D">
        <w:rPr>
          <w:rFonts w:cs="Arial"/>
          <w:spacing w:val="-3"/>
          <w:sz w:val="20"/>
        </w:rPr>
        <w:t>eura</w:t>
      </w:r>
      <w:r w:rsidR="002A3ECF">
        <w:rPr>
          <w:rFonts w:cs="Arial"/>
          <w:spacing w:val="-3"/>
          <w:sz w:val="20"/>
        </w:rPr>
        <w:t>.</w:t>
      </w:r>
    </w:p>
    <w:p w14:paraId="1D117FD6" w14:textId="77777777" w:rsidR="00CC12AA" w:rsidRPr="00AA5FE6" w:rsidRDefault="00CC12AA" w:rsidP="007125F8">
      <w:pPr>
        <w:spacing w:after="0" w:line="240" w:lineRule="auto"/>
        <w:jc w:val="both"/>
        <w:rPr>
          <w:rFonts w:cs="Arial"/>
          <w:b/>
          <w:spacing w:val="-3"/>
          <w:sz w:val="20"/>
        </w:rPr>
      </w:pPr>
      <w:r w:rsidRPr="00AA5FE6">
        <w:rPr>
          <w:rFonts w:cs="Arial"/>
          <w:b/>
          <w:spacing w:val="-3"/>
          <w:sz w:val="20"/>
        </w:rPr>
        <w:t>Gubitak od umanjenja vrijednosti i rezerviranja:</w:t>
      </w:r>
    </w:p>
    <w:p w14:paraId="18680B1B" w14:textId="7D5FF738" w:rsidR="002A3ECF" w:rsidRDefault="00C92A32" w:rsidP="002A3ECF">
      <w:pPr>
        <w:pStyle w:val="ListParagraph"/>
        <w:numPr>
          <w:ilvl w:val="0"/>
          <w:numId w:val="56"/>
        </w:numPr>
        <w:rPr>
          <w:rFonts w:cs="Arial"/>
          <w:spacing w:val="-3"/>
          <w:sz w:val="20"/>
        </w:rPr>
      </w:pPr>
      <w:r w:rsidRPr="00DA1E5D">
        <w:rPr>
          <w:rFonts w:cs="Arial"/>
          <w:spacing w:val="-3"/>
          <w:sz w:val="20"/>
        </w:rPr>
        <w:t>u planskom razdoblju pros</w:t>
      </w:r>
      <w:r w:rsidR="00CA2481" w:rsidRPr="00DA1E5D">
        <w:rPr>
          <w:rFonts w:cs="Arial"/>
          <w:spacing w:val="-3"/>
          <w:sz w:val="20"/>
        </w:rPr>
        <w:t xml:space="preserve">ječan planirani </w:t>
      </w:r>
      <w:r w:rsidR="002A3ECF">
        <w:rPr>
          <w:rFonts w:cs="Arial"/>
          <w:spacing w:val="-3"/>
          <w:sz w:val="20"/>
        </w:rPr>
        <w:t>dobitak</w:t>
      </w:r>
      <w:r w:rsidR="002A3ECF" w:rsidRPr="00DA1E5D">
        <w:rPr>
          <w:rFonts w:cs="Arial"/>
          <w:spacing w:val="-3"/>
          <w:sz w:val="20"/>
        </w:rPr>
        <w:t xml:space="preserve"> </w:t>
      </w:r>
      <w:r w:rsidR="00CA2481" w:rsidRPr="00DA1E5D">
        <w:rPr>
          <w:rFonts w:cs="Arial"/>
          <w:spacing w:val="-3"/>
          <w:sz w:val="20"/>
        </w:rPr>
        <w:t xml:space="preserve">iznosi </w:t>
      </w:r>
      <w:r w:rsidR="002A3ECF">
        <w:rPr>
          <w:rFonts w:cs="Arial"/>
          <w:spacing w:val="-3"/>
          <w:sz w:val="20"/>
        </w:rPr>
        <w:t>6,9</w:t>
      </w:r>
      <w:r w:rsidR="00CA2481" w:rsidRPr="00DA1E5D">
        <w:rPr>
          <w:rFonts w:cs="Arial"/>
          <w:spacing w:val="-3"/>
          <w:sz w:val="20"/>
        </w:rPr>
        <w:t xml:space="preserve"> milijun </w:t>
      </w:r>
      <w:r w:rsidR="00C0433E" w:rsidRPr="00DA1E5D">
        <w:rPr>
          <w:rFonts w:cs="Arial"/>
          <w:spacing w:val="-3"/>
          <w:sz w:val="20"/>
        </w:rPr>
        <w:t>eura</w:t>
      </w:r>
      <w:r w:rsidR="002A3ECF">
        <w:rPr>
          <w:rFonts w:cs="Arial"/>
          <w:spacing w:val="-3"/>
          <w:sz w:val="20"/>
        </w:rPr>
        <w:t>.</w:t>
      </w:r>
    </w:p>
    <w:p w14:paraId="306A5CB7" w14:textId="77777777" w:rsidR="002A3ECF" w:rsidRPr="00DA1E5D" w:rsidRDefault="002A3ECF" w:rsidP="00DA1E5D">
      <w:pPr>
        <w:pStyle w:val="ListParagraph"/>
        <w:spacing w:after="0" w:line="240" w:lineRule="auto"/>
        <w:jc w:val="both"/>
        <w:rPr>
          <w:rFonts w:cs="Arial"/>
          <w:spacing w:val="-3"/>
          <w:sz w:val="20"/>
        </w:rPr>
      </w:pPr>
    </w:p>
    <w:p w14:paraId="687D21EB" w14:textId="1A00B9F9" w:rsidR="00AA5FE6" w:rsidRDefault="002A3ECF" w:rsidP="002A3ECF">
      <w:pPr>
        <w:spacing w:after="0" w:line="240" w:lineRule="auto"/>
        <w:jc w:val="both"/>
        <w:rPr>
          <w:rFonts w:cs="Arial"/>
          <w:b/>
          <w:spacing w:val="-3"/>
          <w:sz w:val="20"/>
        </w:rPr>
      </w:pPr>
      <w:r w:rsidRPr="00DA1E5D">
        <w:rPr>
          <w:rFonts w:cs="Arial"/>
          <w:b/>
          <w:spacing w:val="-3"/>
          <w:sz w:val="20"/>
        </w:rPr>
        <w:t>Trošak subvenicija na teret poslovanja HBOR-a</w:t>
      </w:r>
      <w:r>
        <w:rPr>
          <w:rFonts w:cs="Arial"/>
          <w:b/>
          <w:spacing w:val="-3"/>
          <w:sz w:val="20"/>
        </w:rPr>
        <w:t>:</w:t>
      </w:r>
    </w:p>
    <w:p w14:paraId="217A96F6" w14:textId="659C27DC" w:rsidR="007125F8" w:rsidRPr="00DA1E5D" w:rsidRDefault="002A3ECF" w:rsidP="00DA1E5D">
      <w:pPr>
        <w:pStyle w:val="ListParagraph"/>
        <w:numPr>
          <w:ilvl w:val="0"/>
          <w:numId w:val="56"/>
        </w:numPr>
        <w:rPr>
          <w:rFonts w:cs="Arial"/>
          <w:spacing w:val="-3"/>
          <w:sz w:val="20"/>
        </w:rPr>
      </w:pPr>
      <w:r>
        <w:rPr>
          <w:rFonts w:cs="Arial"/>
          <w:spacing w:val="-3"/>
          <w:sz w:val="20"/>
        </w:rPr>
        <w:t>u</w:t>
      </w:r>
      <w:r w:rsidRPr="00DA1E5D">
        <w:rPr>
          <w:rFonts w:cs="Arial"/>
          <w:spacing w:val="-3"/>
          <w:sz w:val="20"/>
        </w:rPr>
        <w:t xml:space="preserve"> planskom razdoblju prosječan planirani trošak iznosi 15,0 milijuna eura.</w:t>
      </w:r>
    </w:p>
    <w:p w14:paraId="76FE23D2" w14:textId="77777777" w:rsidR="007125F8" w:rsidRPr="005504D6" w:rsidRDefault="007125F8" w:rsidP="007125F8">
      <w:pPr>
        <w:spacing w:after="0" w:line="240" w:lineRule="auto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>Planirana državna jamstva:</w:t>
      </w:r>
    </w:p>
    <w:p w14:paraId="0EB121EF" w14:textId="77777777" w:rsidR="00697449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Temeljem Zakona o HBOR-u (NN 138/06 i NN 25/13) Republika Hrvatska jamči za obveze Hrvatske banke za obnovu i razvitak bezuvjetno, neopozivo i na prvi poziv te bez izdavanja posebne jamstvene isprave.</w:t>
      </w:r>
      <w:r w:rsidR="00697449" w:rsidRPr="005504D6">
        <w:rPr>
          <w:rFonts w:cs="Arial"/>
          <w:sz w:val="20"/>
        </w:rPr>
        <w:t xml:space="preserve"> </w:t>
      </w:r>
    </w:p>
    <w:p w14:paraId="3C6F7E01" w14:textId="77777777" w:rsidR="00697449" w:rsidRPr="005504D6" w:rsidRDefault="00697449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1C41BE56" w14:textId="77777777" w:rsidR="007125F8" w:rsidRPr="005504D6" w:rsidRDefault="00697449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Sukladno navedenome, p</w:t>
      </w:r>
      <w:r w:rsidR="00DD6B9D" w:rsidRPr="005504D6">
        <w:rPr>
          <w:rFonts w:cs="Arial"/>
          <w:sz w:val="20"/>
        </w:rPr>
        <w:t xml:space="preserve">lanirana državna jamstva </w:t>
      </w:r>
      <w:r w:rsidRPr="005504D6">
        <w:rPr>
          <w:rFonts w:cs="Arial"/>
          <w:sz w:val="20"/>
        </w:rPr>
        <w:t xml:space="preserve">procijenjena su temeljem potreba pribavljanja sredstava na financijskim tržištima i usklađena je s projekcijama kreditnih aktivnosti HBOR-a kao i s otplatama ugovorenih zaduženja iz ranijih godina. </w:t>
      </w:r>
    </w:p>
    <w:p w14:paraId="212FB825" w14:textId="77777777" w:rsidR="00DD6B9D" w:rsidRPr="005504D6" w:rsidRDefault="00DD6B9D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3EB8212F" w14:textId="49C6AA28" w:rsidR="007125F8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U nastavku su dane procjene iznosa državnih jamstava za zaduženja HBOR-a</w:t>
      </w:r>
      <w:r w:rsidR="00DA5051" w:rsidRPr="005504D6">
        <w:rPr>
          <w:rFonts w:cs="Arial"/>
          <w:sz w:val="20"/>
        </w:rPr>
        <w:t xml:space="preserve"> u razdoblju od 202</w:t>
      </w:r>
      <w:r w:rsidR="007371A0">
        <w:rPr>
          <w:rFonts w:cs="Arial"/>
          <w:sz w:val="20"/>
        </w:rPr>
        <w:t>5</w:t>
      </w:r>
      <w:r w:rsidR="00DA5051" w:rsidRPr="005504D6">
        <w:rPr>
          <w:rFonts w:cs="Arial"/>
          <w:sz w:val="20"/>
        </w:rPr>
        <w:t>. do 202</w:t>
      </w:r>
      <w:r w:rsidR="007371A0">
        <w:rPr>
          <w:rFonts w:cs="Arial"/>
          <w:sz w:val="20"/>
        </w:rPr>
        <w:t>7</w:t>
      </w:r>
      <w:r w:rsidR="00DA5051" w:rsidRPr="005504D6">
        <w:rPr>
          <w:rFonts w:cs="Arial"/>
          <w:sz w:val="20"/>
        </w:rPr>
        <w:t>. godine</w:t>
      </w:r>
      <w:r w:rsidRPr="005504D6">
        <w:rPr>
          <w:rFonts w:cs="Arial"/>
          <w:sz w:val="20"/>
        </w:rPr>
        <w:t>:</w:t>
      </w:r>
    </w:p>
    <w:p w14:paraId="38DDD553" w14:textId="3D1A5275" w:rsidR="007125F8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</w:r>
      <w:r w:rsidR="00DD6B9D" w:rsidRPr="005504D6">
        <w:rPr>
          <w:rFonts w:cs="Arial"/>
          <w:sz w:val="20"/>
        </w:rPr>
        <w:tab/>
      </w:r>
      <w:r w:rsidR="00DD6B9D" w:rsidRPr="005504D6">
        <w:rPr>
          <w:rFonts w:cs="Arial"/>
          <w:sz w:val="20"/>
        </w:rPr>
        <w:tab/>
      </w:r>
      <w:r w:rsidRPr="005504D6">
        <w:rPr>
          <w:rFonts w:cs="Arial"/>
          <w:sz w:val="20"/>
        </w:rPr>
        <w:tab/>
        <w:t>(u milijunima</w:t>
      </w:r>
      <w:r w:rsidR="00B85276">
        <w:rPr>
          <w:rFonts w:cs="Arial"/>
          <w:sz w:val="20"/>
        </w:rPr>
        <w:t xml:space="preserve"> eura</w:t>
      </w:r>
      <w:r w:rsidRPr="005504D6">
        <w:rPr>
          <w:rFonts w:cs="Arial"/>
          <w:sz w:val="20"/>
        </w:rPr>
        <w:t>)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8"/>
        <w:gridCol w:w="1616"/>
        <w:gridCol w:w="1616"/>
        <w:gridCol w:w="1616"/>
      </w:tblGrid>
      <w:tr w:rsidR="007125F8" w:rsidRPr="00804557" w14:paraId="689E0A5A" w14:textId="77777777" w:rsidTr="008635AE">
        <w:trPr>
          <w:trHeight w:val="96"/>
          <w:jc w:val="center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B568" w14:textId="77777777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31F9" w14:textId="2BA09EC3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  <w:r w:rsidRPr="005504D6">
              <w:rPr>
                <w:rFonts w:cs="Arial"/>
                <w:b/>
                <w:sz w:val="20"/>
              </w:rPr>
              <w:t>202</w:t>
            </w:r>
            <w:r w:rsidR="007371A0">
              <w:rPr>
                <w:rFonts w:cs="Arial"/>
                <w:b/>
                <w:sz w:val="20"/>
              </w:rPr>
              <w:t>5</w:t>
            </w:r>
            <w:r w:rsidRPr="005504D6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D31B" w14:textId="6EC0E9AF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  <w:r w:rsidRPr="005504D6">
              <w:rPr>
                <w:rFonts w:cs="Arial"/>
                <w:b/>
                <w:sz w:val="20"/>
              </w:rPr>
              <w:t>202</w:t>
            </w:r>
            <w:r w:rsidR="007371A0">
              <w:rPr>
                <w:rFonts w:cs="Arial"/>
                <w:b/>
                <w:sz w:val="20"/>
              </w:rPr>
              <w:t>6</w:t>
            </w:r>
            <w:r w:rsidRPr="005504D6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8EC0" w14:textId="01318314" w:rsidR="007125F8" w:rsidRPr="005504D6" w:rsidRDefault="007125F8" w:rsidP="00D6113A">
            <w:pPr>
              <w:tabs>
                <w:tab w:val="left" w:pos="9540"/>
                <w:tab w:val="left" w:pos="9720"/>
              </w:tabs>
              <w:spacing w:after="0" w:line="240" w:lineRule="auto"/>
              <w:ind w:right="74"/>
              <w:jc w:val="center"/>
              <w:rPr>
                <w:rFonts w:cs="Arial"/>
                <w:b/>
                <w:sz w:val="20"/>
              </w:rPr>
            </w:pPr>
            <w:r w:rsidRPr="005504D6">
              <w:rPr>
                <w:rFonts w:cs="Arial"/>
                <w:b/>
                <w:sz w:val="20"/>
              </w:rPr>
              <w:t>202</w:t>
            </w:r>
            <w:r w:rsidR="007371A0">
              <w:rPr>
                <w:rFonts w:cs="Arial"/>
                <w:b/>
                <w:sz w:val="20"/>
              </w:rPr>
              <w:t>7</w:t>
            </w:r>
            <w:r w:rsidRPr="005504D6">
              <w:rPr>
                <w:rFonts w:cs="Arial"/>
                <w:b/>
                <w:sz w:val="20"/>
              </w:rPr>
              <w:t>.</w:t>
            </w:r>
          </w:p>
        </w:tc>
      </w:tr>
      <w:tr w:rsidR="007125F8" w:rsidRPr="00804557" w14:paraId="7C53A8C7" w14:textId="77777777" w:rsidTr="008635AE">
        <w:trPr>
          <w:trHeight w:val="296"/>
          <w:jc w:val="center"/>
        </w:trPr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1E27" w14:textId="77777777" w:rsidR="007125F8" w:rsidRPr="005504D6" w:rsidRDefault="007125F8" w:rsidP="00DD6B9D">
            <w:pPr>
              <w:tabs>
                <w:tab w:val="left" w:pos="9540"/>
                <w:tab w:val="left" w:pos="9720"/>
              </w:tabs>
              <w:spacing w:after="0" w:line="240" w:lineRule="auto"/>
              <w:rPr>
                <w:rFonts w:cs="Arial"/>
                <w:sz w:val="20"/>
              </w:rPr>
            </w:pPr>
            <w:r w:rsidRPr="005504D6">
              <w:rPr>
                <w:rFonts w:cs="Arial"/>
                <w:sz w:val="20"/>
              </w:rPr>
              <w:t>Procjena potrebnih sredstava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7085" w14:textId="75FCBA76" w:rsidR="007125F8" w:rsidRPr="008D4B13" w:rsidRDefault="008D4B13" w:rsidP="00DD6B9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8D4B13">
              <w:rPr>
                <w:rFonts w:cs="Arial"/>
                <w:sz w:val="20"/>
              </w:rPr>
              <w:t>863</w:t>
            </w:r>
            <w:r w:rsidR="00162BDE" w:rsidRPr="008D4B13">
              <w:rPr>
                <w:rFonts w:cs="Arial"/>
                <w:sz w:val="20"/>
              </w:rPr>
              <w:t>,0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7A8E" w14:textId="31954923" w:rsidR="007125F8" w:rsidRPr="008D4B13" w:rsidRDefault="00162BDE" w:rsidP="00DD6B9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8D4B13">
              <w:rPr>
                <w:rFonts w:cs="Arial"/>
                <w:sz w:val="20"/>
              </w:rPr>
              <w:t>6</w:t>
            </w:r>
            <w:r w:rsidR="008D4B13" w:rsidRPr="008D4B13">
              <w:rPr>
                <w:rFonts w:cs="Arial"/>
                <w:sz w:val="20"/>
              </w:rPr>
              <w:t>86</w:t>
            </w:r>
            <w:r w:rsidRPr="008D4B13">
              <w:rPr>
                <w:rFonts w:cs="Arial"/>
                <w:sz w:val="20"/>
              </w:rPr>
              <w:t>,0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6410" w14:textId="739090CD" w:rsidR="007125F8" w:rsidRPr="008D4B13" w:rsidRDefault="008D4B13" w:rsidP="00DD6B9D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8D4B13">
              <w:rPr>
                <w:rFonts w:cs="Arial"/>
                <w:sz w:val="20"/>
              </w:rPr>
              <w:t>622</w:t>
            </w:r>
            <w:r w:rsidR="00162BDE" w:rsidRPr="008D4B13">
              <w:rPr>
                <w:rFonts w:cs="Arial"/>
                <w:sz w:val="20"/>
              </w:rPr>
              <w:t>,0</w:t>
            </w:r>
          </w:p>
        </w:tc>
      </w:tr>
    </w:tbl>
    <w:p w14:paraId="307EDADF" w14:textId="77777777" w:rsidR="007125F8" w:rsidRPr="005504D6" w:rsidRDefault="007125F8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0D9F6B2A" w14:textId="77777777" w:rsidR="006A1EBC" w:rsidRPr="005504D6" w:rsidRDefault="006A1EBC" w:rsidP="007125F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highlight w:val="yellow"/>
        </w:rPr>
      </w:pPr>
    </w:p>
    <w:p w14:paraId="37DEEF0B" w14:textId="77777777" w:rsidR="007125F8" w:rsidRPr="005504D6" w:rsidRDefault="006C6D44" w:rsidP="007125F8">
      <w:pPr>
        <w:spacing w:after="0" w:line="240" w:lineRule="auto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>Funkcija praćenja usklađenosti:</w:t>
      </w:r>
    </w:p>
    <w:p w14:paraId="7E854917" w14:textId="77777777" w:rsidR="00D6113A" w:rsidRPr="005504D6" w:rsidRDefault="00D6113A" w:rsidP="007125F8">
      <w:pPr>
        <w:spacing w:after="0" w:line="240" w:lineRule="auto"/>
        <w:jc w:val="both"/>
        <w:rPr>
          <w:rFonts w:cs="Arial"/>
          <w:sz w:val="20"/>
        </w:rPr>
      </w:pPr>
    </w:p>
    <w:p w14:paraId="5A51FE3A" w14:textId="77777777" w:rsidR="00D6113A" w:rsidRPr="005504D6" w:rsidRDefault="00D6113A" w:rsidP="00D6113A">
      <w:pPr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Funkcija praćenja usklađenosti uspostavljena je kao neovisna i trajna funkcija. Poslovi praćenja usklađenosti uključuju utvrđivanje i procjenu rizika usklađenosti kojem je HBOR izložen ili bi mogao biti izložen, savjetovanje Uprave i drugih odgovornih osoba o načinu primjene relevantnih zakona, standarda i pravila uključujući i informiranje o aktualnostima iz tih područja.</w:t>
      </w:r>
    </w:p>
    <w:p w14:paraId="1692CF1D" w14:textId="77777777" w:rsidR="00D6113A" w:rsidRPr="005504D6" w:rsidRDefault="00D6113A" w:rsidP="00D6113A">
      <w:pPr>
        <w:spacing w:after="0" w:line="240" w:lineRule="auto"/>
        <w:jc w:val="both"/>
        <w:rPr>
          <w:rFonts w:cs="Arial"/>
          <w:sz w:val="20"/>
        </w:rPr>
      </w:pPr>
    </w:p>
    <w:p w14:paraId="19204F6C" w14:textId="77777777" w:rsidR="00D6113A" w:rsidRPr="005504D6" w:rsidRDefault="00D6113A" w:rsidP="00D6113A">
      <w:pPr>
        <w:spacing w:after="0" w:line="240" w:lineRule="auto"/>
        <w:jc w:val="both"/>
        <w:rPr>
          <w:rFonts w:cs="Arial"/>
          <w:sz w:val="20"/>
        </w:rPr>
      </w:pPr>
      <w:r w:rsidRPr="005504D6">
        <w:rPr>
          <w:rFonts w:cs="Arial"/>
          <w:sz w:val="20"/>
        </w:rPr>
        <w:t>Funkcija praćenja usklađenosti vrši procjenu učinaka koje će na poslovanje HBOR-a imati izmjene relevantnih propisa, procjenjuje usklađenost novih proizvoda ili novih postupaka s relevantnim zakonima i propisima kao i s izmjenama propisa, savjetuje u dijelu pripreme obrazovnih programa vezanih za usklađenost, savjetuje i obrazuje o etičkom ponašanju, sudjeluje u vođenju postupaka po prigovorima i prijavama nepravilnosti te nadzire provedbu i pridržavanje odredbi Kodeksa ponašanja. Funkcija praćenja usklađenosti podnosi periodička izvješća Upravi, Revizijskom i Nadzornom odboru HBOR-a.</w:t>
      </w:r>
    </w:p>
    <w:p w14:paraId="0793AB71" w14:textId="77777777" w:rsidR="00A352BA" w:rsidRPr="005504D6" w:rsidRDefault="00A352BA" w:rsidP="007125F8">
      <w:pPr>
        <w:spacing w:after="0" w:line="240" w:lineRule="auto"/>
        <w:jc w:val="both"/>
        <w:rPr>
          <w:rFonts w:cs="Arial"/>
          <w:sz w:val="20"/>
        </w:rPr>
      </w:pPr>
    </w:p>
    <w:p w14:paraId="4724D349" w14:textId="77777777" w:rsidR="006C6D44" w:rsidRPr="005504D6" w:rsidRDefault="006C6D44" w:rsidP="007125F8">
      <w:pPr>
        <w:spacing w:after="0" w:line="240" w:lineRule="auto"/>
        <w:jc w:val="both"/>
        <w:rPr>
          <w:rFonts w:cs="Arial"/>
          <w:sz w:val="20"/>
        </w:rPr>
      </w:pPr>
    </w:p>
    <w:sectPr w:rsidR="006C6D44" w:rsidRPr="005504D6" w:rsidSect="00E848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E776" w14:textId="77777777" w:rsidR="0055424B" w:rsidRDefault="0055424B" w:rsidP="005E4E49">
      <w:pPr>
        <w:spacing w:after="0" w:line="240" w:lineRule="auto"/>
      </w:pPr>
      <w:r>
        <w:separator/>
      </w:r>
    </w:p>
  </w:endnote>
  <w:endnote w:type="continuationSeparator" w:id="0">
    <w:p w14:paraId="783DCC45" w14:textId="77777777" w:rsidR="0055424B" w:rsidRDefault="0055424B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8C74" w14:textId="77777777" w:rsidR="0055424B" w:rsidRPr="00283F7B" w:rsidRDefault="0055424B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08C3" w14:textId="77777777" w:rsidR="00A21432" w:rsidRPr="00C12B52" w:rsidRDefault="00A21432">
    <w:pPr>
      <w:pStyle w:val="Footer"/>
      <w:jc w:val="right"/>
      <w:rPr>
        <w:rFonts w:asciiTheme="minorHAnsi" w:hAnsiTheme="minorHAnsi"/>
        <w:sz w:val="18"/>
        <w:szCs w:val="18"/>
      </w:rPr>
    </w:pPr>
  </w:p>
  <w:p w14:paraId="22FBEC85" w14:textId="77777777" w:rsidR="00A21432" w:rsidRPr="00C12B52" w:rsidRDefault="00A21432" w:rsidP="00F009FD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18"/>
        <w:szCs w:val="18"/>
      </w:rPr>
    </w:pPr>
    <w:r w:rsidRPr="00C12B52">
      <w:rPr>
        <w:rFonts w:cs="Arial"/>
        <w:color w:val="808080"/>
        <w:sz w:val="18"/>
        <w:szCs w:val="18"/>
      </w:rPr>
      <w:fldChar w:fldCharType="begin"/>
    </w:r>
    <w:r w:rsidRPr="00C12B52">
      <w:rPr>
        <w:rFonts w:cs="Arial"/>
        <w:color w:val="808080"/>
        <w:sz w:val="18"/>
        <w:szCs w:val="18"/>
      </w:rPr>
      <w:instrText xml:space="preserve"> PAGE   \* MERGEFORMAT </w:instrText>
    </w:r>
    <w:r w:rsidRPr="00C12B52">
      <w:rPr>
        <w:rFonts w:cs="Arial"/>
        <w:color w:val="808080"/>
        <w:sz w:val="18"/>
        <w:szCs w:val="18"/>
      </w:rPr>
      <w:fldChar w:fldCharType="separate"/>
    </w:r>
    <w:r w:rsidRPr="00C12B52">
      <w:rPr>
        <w:rFonts w:cs="Arial"/>
        <w:b/>
        <w:bCs/>
        <w:noProof/>
        <w:color w:val="808080"/>
        <w:sz w:val="18"/>
        <w:szCs w:val="18"/>
      </w:rPr>
      <w:t>14</w:t>
    </w:r>
    <w:r w:rsidRPr="00C12B52">
      <w:rPr>
        <w:rFonts w:cs="Arial"/>
        <w:b/>
        <w:bCs/>
        <w:noProof/>
        <w:color w:val="808080"/>
        <w:sz w:val="18"/>
        <w:szCs w:val="18"/>
      </w:rPr>
      <w:fldChar w:fldCharType="end"/>
    </w:r>
    <w:r w:rsidRPr="00C12B52">
      <w:rPr>
        <w:rFonts w:cs="Arial"/>
        <w:b/>
        <w:bCs/>
        <w:color w:val="808080"/>
        <w:sz w:val="18"/>
        <w:szCs w:val="18"/>
      </w:rPr>
      <w:t xml:space="preserve">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6B10" w14:textId="77777777" w:rsidR="0055424B" w:rsidRDefault="0055424B" w:rsidP="005E4E49">
      <w:pPr>
        <w:spacing w:after="0" w:line="240" w:lineRule="auto"/>
      </w:pPr>
      <w:r>
        <w:separator/>
      </w:r>
    </w:p>
  </w:footnote>
  <w:footnote w:type="continuationSeparator" w:id="0">
    <w:p w14:paraId="5501BB71" w14:textId="77777777" w:rsidR="0055424B" w:rsidRDefault="0055424B" w:rsidP="005E4E49">
      <w:pPr>
        <w:spacing w:after="0" w:line="240" w:lineRule="auto"/>
      </w:pPr>
      <w:r>
        <w:continuationSeparator/>
      </w:r>
    </w:p>
  </w:footnote>
  <w:footnote w:id="1">
    <w:p w14:paraId="10FD8ACB" w14:textId="77777777" w:rsidR="00FB4D08" w:rsidRPr="00F11999" w:rsidRDefault="00FB4D08" w:rsidP="00FB4D08">
      <w:pPr>
        <w:pStyle w:val="FootnoteText"/>
        <w:rPr>
          <w:rFonts w:cs="Arial"/>
          <w:sz w:val="16"/>
          <w:szCs w:val="16"/>
        </w:rPr>
      </w:pPr>
      <w:r w:rsidRPr="00F11999">
        <w:rPr>
          <w:rStyle w:val="FootnoteReference"/>
          <w:rFonts w:cs="Arial"/>
          <w:sz w:val="16"/>
          <w:szCs w:val="16"/>
        </w:rPr>
        <w:footnoteRef/>
      </w:r>
      <w:r w:rsidRPr="00F11999">
        <w:rPr>
          <w:rFonts w:cs="Arial"/>
          <w:sz w:val="16"/>
          <w:szCs w:val="16"/>
        </w:rPr>
        <w:t xml:space="preserve"> DG REFORM </w:t>
      </w:r>
      <w:r w:rsidRPr="00F11999">
        <w:rPr>
          <w:rFonts w:cs="Arial"/>
          <w:i/>
          <w:iCs/>
          <w:sz w:val="16"/>
          <w:szCs w:val="16"/>
        </w:rPr>
        <w:t>Directorate-General for Structural Reform Support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44FE" w14:textId="0D613948" w:rsidR="0055424B" w:rsidRDefault="0055424B">
    <w:pPr>
      <w:pStyle w:val="Header"/>
    </w:pPr>
  </w:p>
  <w:p w14:paraId="0661F6BA" w14:textId="75B5A087" w:rsidR="00851AE4" w:rsidRDefault="00C976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CAB16" wp14:editId="6F865008">
          <wp:simplePos x="0" y="0"/>
          <wp:positionH relativeFrom="column">
            <wp:posOffset>0</wp:posOffset>
          </wp:positionH>
          <wp:positionV relativeFrom="paragraph">
            <wp:posOffset>147320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380"/>
              <wp:lineTo x="2162" y="7747"/>
              <wp:lineTo x="2316" y="19139"/>
              <wp:lineTo x="19608" y="19139"/>
              <wp:lineTo x="19917" y="15949"/>
              <wp:lineTo x="9881" y="11848"/>
              <wp:lineTo x="10190" y="8203"/>
              <wp:lineTo x="9264" y="6835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EB7F7" w14:textId="085D132F" w:rsidR="0055424B" w:rsidRDefault="00554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1144"/>
        </w:tabs>
        <w:ind w:left="1144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864"/>
        </w:tabs>
        <w:ind w:left="1864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584"/>
        </w:tabs>
        <w:ind w:left="2584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3304"/>
        </w:tabs>
        <w:ind w:left="3304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4024"/>
        </w:tabs>
        <w:ind w:left="4024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744"/>
        </w:tabs>
        <w:ind w:left="4744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464"/>
        </w:tabs>
        <w:ind w:left="5464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6184"/>
        </w:tabs>
        <w:ind w:left="6184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904"/>
        </w:tabs>
        <w:ind w:left="6904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1CA4"/>
    <w:multiLevelType w:val="hybridMultilevel"/>
    <w:tmpl w:val="12EE8076"/>
    <w:lvl w:ilvl="0" w:tplc="041A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07DA5EBA"/>
    <w:multiLevelType w:val="hybridMultilevel"/>
    <w:tmpl w:val="915CE806"/>
    <w:lvl w:ilvl="0" w:tplc="E91206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1062B1"/>
    <w:multiLevelType w:val="hybridMultilevel"/>
    <w:tmpl w:val="B308E87E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1343"/>
    <w:multiLevelType w:val="hybridMultilevel"/>
    <w:tmpl w:val="8E48E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7B83437"/>
    <w:multiLevelType w:val="hybridMultilevel"/>
    <w:tmpl w:val="8940C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185"/>
    <w:multiLevelType w:val="hybridMultilevel"/>
    <w:tmpl w:val="29E21D88"/>
    <w:lvl w:ilvl="0" w:tplc="832CD774">
      <w:start w:val="20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B60CB"/>
    <w:multiLevelType w:val="hybridMultilevel"/>
    <w:tmpl w:val="3B4AD6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D63469C"/>
    <w:multiLevelType w:val="hybridMultilevel"/>
    <w:tmpl w:val="01B4C4DA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30273"/>
    <w:multiLevelType w:val="hybridMultilevel"/>
    <w:tmpl w:val="BC8C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02039"/>
    <w:multiLevelType w:val="multilevel"/>
    <w:tmpl w:val="1668DF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33" w15:restartNumberingAfterBreak="0">
    <w:nsid w:val="4B9261E1"/>
    <w:multiLevelType w:val="hybridMultilevel"/>
    <w:tmpl w:val="CF30EEDC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973A9"/>
    <w:multiLevelType w:val="hybridMultilevel"/>
    <w:tmpl w:val="87E2714E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B7A54"/>
    <w:multiLevelType w:val="hybridMultilevel"/>
    <w:tmpl w:val="53F8D056"/>
    <w:lvl w:ilvl="0" w:tplc="E5082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32A7A"/>
    <w:multiLevelType w:val="hybridMultilevel"/>
    <w:tmpl w:val="3498208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1948CF"/>
    <w:multiLevelType w:val="hybridMultilevel"/>
    <w:tmpl w:val="A42E0D9E"/>
    <w:lvl w:ilvl="0" w:tplc="F992EC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4" w15:restartNumberingAfterBreak="0">
    <w:nsid w:val="688E4FB5"/>
    <w:multiLevelType w:val="hybridMultilevel"/>
    <w:tmpl w:val="1788016A"/>
    <w:lvl w:ilvl="0" w:tplc="041A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5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1974B1"/>
    <w:multiLevelType w:val="hybridMultilevel"/>
    <w:tmpl w:val="4CD2A3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A11822"/>
    <w:multiLevelType w:val="hybridMultilevel"/>
    <w:tmpl w:val="EA3C8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FA1A6C"/>
    <w:multiLevelType w:val="hybridMultilevel"/>
    <w:tmpl w:val="8A66F0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46A6160"/>
    <w:multiLevelType w:val="hybridMultilevel"/>
    <w:tmpl w:val="B80AF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069F7"/>
    <w:multiLevelType w:val="hybridMultilevel"/>
    <w:tmpl w:val="27B6E558"/>
    <w:lvl w:ilvl="0" w:tplc="47D29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61A18"/>
    <w:multiLevelType w:val="hybridMultilevel"/>
    <w:tmpl w:val="7D769A52"/>
    <w:lvl w:ilvl="0" w:tplc="FE1C17FA">
      <w:start w:val="2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83416">
    <w:abstractNumId w:val="18"/>
  </w:num>
  <w:num w:numId="2" w16cid:durableId="644940374">
    <w:abstractNumId w:val="2"/>
  </w:num>
  <w:num w:numId="3" w16cid:durableId="1653756096">
    <w:abstractNumId w:val="25"/>
  </w:num>
  <w:num w:numId="4" w16cid:durableId="1650480678">
    <w:abstractNumId w:val="20"/>
  </w:num>
  <w:num w:numId="5" w16cid:durableId="1263806539">
    <w:abstractNumId w:val="16"/>
  </w:num>
  <w:num w:numId="6" w16cid:durableId="1829904293">
    <w:abstractNumId w:val="13"/>
  </w:num>
  <w:num w:numId="7" w16cid:durableId="871386856">
    <w:abstractNumId w:val="19"/>
  </w:num>
  <w:num w:numId="8" w16cid:durableId="803356689">
    <w:abstractNumId w:val="57"/>
  </w:num>
  <w:num w:numId="9" w16cid:durableId="1642495132">
    <w:abstractNumId w:val="30"/>
  </w:num>
  <w:num w:numId="10" w16cid:durableId="1450513376">
    <w:abstractNumId w:val="1"/>
  </w:num>
  <w:num w:numId="11" w16cid:durableId="96487062">
    <w:abstractNumId w:val="5"/>
  </w:num>
  <w:num w:numId="12" w16cid:durableId="368183907">
    <w:abstractNumId w:val="6"/>
  </w:num>
  <w:num w:numId="13" w16cid:durableId="526214526">
    <w:abstractNumId w:val="35"/>
  </w:num>
  <w:num w:numId="14" w16cid:durableId="842159328">
    <w:abstractNumId w:val="45"/>
  </w:num>
  <w:num w:numId="15" w16cid:durableId="1489596149">
    <w:abstractNumId w:val="22"/>
  </w:num>
  <w:num w:numId="16" w16cid:durableId="1501848993">
    <w:abstractNumId w:val="47"/>
  </w:num>
  <w:num w:numId="17" w16cid:durableId="1208448768">
    <w:abstractNumId w:val="23"/>
  </w:num>
  <w:num w:numId="18" w16cid:durableId="777023760">
    <w:abstractNumId w:val="17"/>
  </w:num>
  <w:num w:numId="19" w16cid:durableId="1709722210">
    <w:abstractNumId w:val="15"/>
  </w:num>
  <w:num w:numId="20" w16cid:durableId="944844850">
    <w:abstractNumId w:val="10"/>
  </w:num>
  <w:num w:numId="21" w16cid:durableId="2123836274">
    <w:abstractNumId w:val="38"/>
  </w:num>
  <w:num w:numId="22" w16cid:durableId="1916815883">
    <w:abstractNumId w:val="37"/>
  </w:num>
  <w:num w:numId="23" w16cid:durableId="1992827788">
    <w:abstractNumId w:val="46"/>
  </w:num>
  <w:num w:numId="24" w16cid:durableId="1265259905">
    <w:abstractNumId w:val="34"/>
  </w:num>
  <w:num w:numId="25" w16cid:durableId="1805073814">
    <w:abstractNumId w:val="14"/>
  </w:num>
  <w:num w:numId="26" w16cid:durableId="1002127436">
    <w:abstractNumId w:val="43"/>
  </w:num>
  <w:num w:numId="27" w16cid:durableId="371880851">
    <w:abstractNumId w:val="27"/>
  </w:num>
  <w:num w:numId="28" w16cid:durableId="1651858535">
    <w:abstractNumId w:val="24"/>
  </w:num>
  <w:num w:numId="29" w16cid:durableId="1320965744">
    <w:abstractNumId w:val="40"/>
  </w:num>
  <w:num w:numId="30" w16cid:durableId="237978029">
    <w:abstractNumId w:val="52"/>
  </w:num>
  <w:num w:numId="31" w16cid:durableId="1102412439">
    <w:abstractNumId w:val="28"/>
  </w:num>
  <w:num w:numId="32" w16cid:durableId="1429620529">
    <w:abstractNumId w:val="0"/>
  </w:num>
  <w:num w:numId="33" w16cid:durableId="1911963666">
    <w:abstractNumId w:val="51"/>
  </w:num>
  <w:num w:numId="34" w16cid:durableId="1406104461">
    <w:abstractNumId w:val="48"/>
  </w:num>
  <w:num w:numId="35" w16cid:durableId="1057364501">
    <w:abstractNumId w:val="49"/>
  </w:num>
  <w:num w:numId="36" w16cid:durableId="214123445">
    <w:abstractNumId w:val="50"/>
  </w:num>
  <w:num w:numId="37" w16cid:durableId="782696848">
    <w:abstractNumId w:val="8"/>
  </w:num>
  <w:num w:numId="38" w16cid:durableId="500774793">
    <w:abstractNumId w:val="39"/>
  </w:num>
  <w:num w:numId="39" w16cid:durableId="95639280">
    <w:abstractNumId w:val="55"/>
  </w:num>
  <w:num w:numId="40" w16cid:durableId="749236250">
    <w:abstractNumId w:val="21"/>
  </w:num>
  <w:num w:numId="41" w16cid:durableId="496044159">
    <w:abstractNumId w:val="26"/>
  </w:num>
  <w:num w:numId="42" w16cid:durableId="302657806">
    <w:abstractNumId w:val="9"/>
  </w:num>
  <w:num w:numId="43" w16cid:durableId="1659110929">
    <w:abstractNumId w:val="29"/>
  </w:num>
  <w:num w:numId="44" w16cid:durableId="1870483095">
    <w:abstractNumId w:val="56"/>
  </w:num>
  <w:num w:numId="45" w16cid:durableId="1324892821">
    <w:abstractNumId w:val="7"/>
  </w:num>
  <w:num w:numId="46" w16cid:durableId="1025906734">
    <w:abstractNumId w:val="3"/>
  </w:num>
  <w:num w:numId="47" w16cid:durableId="1786844209">
    <w:abstractNumId w:val="53"/>
  </w:num>
  <w:num w:numId="48" w16cid:durableId="2139250777">
    <w:abstractNumId w:val="4"/>
  </w:num>
  <w:num w:numId="49" w16cid:durableId="4052997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13151740">
    <w:abstractNumId w:val="54"/>
  </w:num>
  <w:num w:numId="51" w16cid:durableId="1117262756">
    <w:abstractNumId w:val="42"/>
  </w:num>
  <w:num w:numId="52" w16cid:durableId="1211114003">
    <w:abstractNumId w:val="44"/>
  </w:num>
  <w:num w:numId="53" w16cid:durableId="1813652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656300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0787238">
    <w:abstractNumId w:val="33"/>
  </w:num>
  <w:num w:numId="56" w16cid:durableId="1208755644">
    <w:abstractNumId w:val="36"/>
  </w:num>
  <w:num w:numId="57" w16cid:durableId="1124814107">
    <w:abstractNumId w:val="12"/>
  </w:num>
  <w:num w:numId="58" w16cid:durableId="10489154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0A38"/>
    <w:rsid w:val="00000BA5"/>
    <w:rsid w:val="00000FED"/>
    <w:rsid w:val="000028F7"/>
    <w:rsid w:val="00002C53"/>
    <w:rsid w:val="00002F10"/>
    <w:rsid w:val="00004075"/>
    <w:rsid w:val="0000605F"/>
    <w:rsid w:val="00007CB4"/>
    <w:rsid w:val="0001107B"/>
    <w:rsid w:val="0001494E"/>
    <w:rsid w:val="000175F8"/>
    <w:rsid w:val="00020607"/>
    <w:rsid w:val="000212CE"/>
    <w:rsid w:val="00021BAA"/>
    <w:rsid w:val="000243FF"/>
    <w:rsid w:val="000317D6"/>
    <w:rsid w:val="00033E7E"/>
    <w:rsid w:val="00041F09"/>
    <w:rsid w:val="000432CE"/>
    <w:rsid w:val="000438A0"/>
    <w:rsid w:val="00043DE5"/>
    <w:rsid w:val="0004549C"/>
    <w:rsid w:val="00046990"/>
    <w:rsid w:val="00047FA0"/>
    <w:rsid w:val="00050D44"/>
    <w:rsid w:val="00053DEF"/>
    <w:rsid w:val="00057770"/>
    <w:rsid w:val="00060212"/>
    <w:rsid w:val="00063014"/>
    <w:rsid w:val="00063A59"/>
    <w:rsid w:val="000656F3"/>
    <w:rsid w:val="00067256"/>
    <w:rsid w:val="00070D63"/>
    <w:rsid w:val="000716B0"/>
    <w:rsid w:val="00072229"/>
    <w:rsid w:val="00072915"/>
    <w:rsid w:val="000736F7"/>
    <w:rsid w:val="0007414F"/>
    <w:rsid w:val="0007557A"/>
    <w:rsid w:val="00075A00"/>
    <w:rsid w:val="00076A69"/>
    <w:rsid w:val="00076B6E"/>
    <w:rsid w:val="00076FB6"/>
    <w:rsid w:val="00077680"/>
    <w:rsid w:val="0008092A"/>
    <w:rsid w:val="00081479"/>
    <w:rsid w:val="00083017"/>
    <w:rsid w:val="000833A9"/>
    <w:rsid w:val="000840F6"/>
    <w:rsid w:val="00084370"/>
    <w:rsid w:val="000909C1"/>
    <w:rsid w:val="0009103E"/>
    <w:rsid w:val="00097037"/>
    <w:rsid w:val="000A293A"/>
    <w:rsid w:val="000A388B"/>
    <w:rsid w:val="000A7656"/>
    <w:rsid w:val="000A79A7"/>
    <w:rsid w:val="000A7C81"/>
    <w:rsid w:val="000B1B83"/>
    <w:rsid w:val="000B2152"/>
    <w:rsid w:val="000B226F"/>
    <w:rsid w:val="000B3B5D"/>
    <w:rsid w:val="000B4197"/>
    <w:rsid w:val="000B4F21"/>
    <w:rsid w:val="000B6A29"/>
    <w:rsid w:val="000C0AC8"/>
    <w:rsid w:val="000C0CCF"/>
    <w:rsid w:val="000C12FC"/>
    <w:rsid w:val="000C1D25"/>
    <w:rsid w:val="000C1E95"/>
    <w:rsid w:val="000C31F0"/>
    <w:rsid w:val="000C5447"/>
    <w:rsid w:val="000C7418"/>
    <w:rsid w:val="000C7C30"/>
    <w:rsid w:val="000D07A9"/>
    <w:rsid w:val="000D3AD6"/>
    <w:rsid w:val="000D5C81"/>
    <w:rsid w:val="000D6669"/>
    <w:rsid w:val="000E07B7"/>
    <w:rsid w:val="000E1078"/>
    <w:rsid w:val="000E190A"/>
    <w:rsid w:val="000E335D"/>
    <w:rsid w:val="000E4BA5"/>
    <w:rsid w:val="000E58AD"/>
    <w:rsid w:val="000E7E35"/>
    <w:rsid w:val="000F1D4F"/>
    <w:rsid w:val="000F2DD1"/>
    <w:rsid w:val="000F2E01"/>
    <w:rsid w:val="000F2E14"/>
    <w:rsid w:val="000F3204"/>
    <w:rsid w:val="000F35D7"/>
    <w:rsid w:val="000F471A"/>
    <w:rsid w:val="000F5CF4"/>
    <w:rsid w:val="000F6E1F"/>
    <w:rsid w:val="001012B1"/>
    <w:rsid w:val="0010140D"/>
    <w:rsid w:val="00101A44"/>
    <w:rsid w:val="001022AB"/>
    <w:rsid w:val="001044D5"/>
    <w:rsid w:val="00106DEB"/>
    <w:rsid w:val="00107A5E"/>
    <w:rsid w:val="0011065A"/>
    <w:rsid w:val="001114B2"/>
    <w:rsid w:val="001127E5"/>
    <w:rsid w:val="0011676D"/>
    <w:rsid w:val="00122F0D"/>
    <w:rsid w:val="00122FE3"/>
    <w:rsid w:val="001242BC"/>
    <w:rsid w:val="00125C25"/>
    <w:rsid w:val="001272FB"/>
    <w:rsid w:val="001310A6"/>
    <w:rsid w:val="0013188A"/>
    <w:rsid w:val="001319FB"/>
    <w:rsid w:val="00131DB3"/>
    <w:rsid w:val="001328F0"/>
    <w:rsid w:val="0013710D"/>
    <w:rsid w:val="00137D4F"/>
    <w:rsid w:val="00140433"/>
    <w:rsid w:val="001421EA"/>
    <w:rsid w:val="001443E5"/>
    <w:rsid w:val="00150982"/>
    <w:rsid w:val="00152FE1"/>
    <w:rsid w:val="00153636"/>
    <w:rsid w:val="00153810"/>
    <w:rsid w:val="00156FB9"/>
    <w:rsid w:val="001602DC"/>
    <w:rsid w:val="00162BDE"/>
    <w:rsid w:val="00162EB6"/>
    <w:rsid w:val="00162EEE"/>
    <w:rsid w:val="00164CDF"/>
    <w:rsid w:val="001653E9"/>
    <w:rsid w:val="001659DD"/>
    <w:rsid w:val="001667B6"/>
    <w:rsid w:val="00167473"/>
    <w:rsid w:val="0017219C"/>
    <w:rsid w:val="00172AA7"/>
    <w:rsid w:val="0017315B"/>
    <w:rsid w:val="0017369A"/>
    <w:rsid w:val="00173B45"/>
    <w:rsid w:val="00176075"/>
    <w:rsid w:val="00176A0F"/>
    <w:rsid w:val="00182234"/>
    <w:rsid w:val="00186461"/>
    <w:rsid w:val="001874F8"/>
    <w:rsid w:val="00190166"/>
    <w:rsid w:val="001921A5"/>
    <w:rsid w:val="00194BDB"/>
    <w:rsid w:val="001954DF"/>
    <w:rsid w:val="001974D9"/>
    <w:rsid w:val="001979C6"/>
    <w:rsid w:val="001A4248"/>
    <w:rsid w:val="001A48F9"/>
    <w:rsid w:val="001A5033"/>
    <w:rsid w:val="001A5055"/>
    <w:rsid w:val="001A6EB0"/>
    <w:rsid w:val="001A6F93"/>
    <w:rsid w:val="001A712E"/>
    <w:rsid w:val="001A7140"/>
    <w:rsid w:val="001B0DA3"/>
    <w:rsid w:val="001B41CB"/>
    <w:rsid w:val="001B4584"/>
    <w:rsid w:val="001B5115"/>
    <w:rsid w:val="001B516A"/>
    <w:rsid w:val="001B55B3"/>
    <w:rsid w:val="001B5AEA"/>
    <w:rsid w:val="001B5CFD"/>
    <w:rsid w:val="001B683A"/>
    <w:rsid w:val="001B6D6F"/>
    <w:rsid w:val="001B6E69"/>
    <w:rsid w:val="001B757E"/>
    <w:rsid w:val="001C09AE"/>
    <w:rsid w:val="001C0DE7"/>
    <w:rsid w:val="001C0E47"/>
    <w:rsid w:val="001C1BBC"/>
    <w:rsid w:val="001C1E53"/>
    <w:rsid w:val="001C3DCD"/>
    <w:rsid w:val="001C4834"/>
    <w:rsid w:val="001C509A"/>
    <w:rsid w:val="001C7D4B"/>
    <w:rsid w:val="001D13F9"/>
    <w:rsid w:val="001D17EA"/>
    <w:rsid w:val="001D4699"/>
    <w:rsid w:val="001D48DC"/>
    <w:rsid w:val="001D57B9"/>
    <w:rsid w:val="001D70BC"/>
    <w:rsid w:val="001D7990"/>
    <w:rsid w:val="001E2CA8"/>
    <w:rsid w:val="001F264B"/>
    <w:rsid w:val="001F4009"/>
    <w:rsid w:val="001F4EF1"/>
    <w:rsid w:val="001F5200"/>
    <w:rsid w:val="002005F4"/>
    <w:rsid w:val="00202971"/>
    <w:rsid w:val="00203313"/>
    <w:rsid w:val="0020371C"/>
    <w:rsid w:val="00204D34"/>
    <w:rsid w:val="00204E2C"/>
    <w:rsid w:val="00206BDA"/>
    <w:rsid w:val="0020711B"/>
    <w:rsid w:val="00207278"/>
    <w:rsid w:val="00211AB5"/>
    <w:rsid w:val="00211B61"/>
    <w:rsid w:val="00211E06"/>
    <w:rsid w:val="00214291"/>
    <w:rsid w:val="0021468C"/>
    <w:rsid w:val="0021730B"/>
    <w:rsid w:val="00217516"/>
    <w:rsid w:val="0022038B"/>
    <w:rsid w:val="002209B6"/>
    <w:rsid w:val="00220EF6"/>
    <w:rsid w:val="00221708"/>
    <w:rsid w:val="00223391"/>
    <w:rsid w:val="00225580"/>
    <w:rsid w:val="00226276"/>
    <w:rsid w:val="002262AF"/>
    <w:rsid w:val="00231BC8"/>
    <w:rsid w:val="0023287D"/>
    <w:rsid w:val="00232E92"/>
    <w:rsid w:val="002338FA"/>
    <w:rsid w:val="00235BD8"/>
    <w:rsid w:val="00236990"/>
    <w:rsid w:val="00240121"/>
    <w:rsid w:val="00241C5B"/>
    <w:rsid w:val="00243615"/>
    <w:rsid w:val="00244459"/>
    <w:rsid w:val="00244833"/>
    <w:rsid w:val="002458C3"/>
    <w:rsid w:val="00247804"/>
    <w:rsid w:val="00247CCF"/>
    <w:rsid w:val="002514F1"/>
    <w:rsid w:val="002518BB"/>
    <w:rsid w:val="00251BDB"/>
    <w:rsid w:val="002578BD"/>
    <w:rsid w:val="0026015C"/>
    <w:rsid w:val="00260450"/>
    <w:rsid w:val="002612DE"/>
    <w:rsid w:val="00261D26"/>
    <w:rsid w:val="00261F98"/>
    <w:rsid w:val="00262C77"/>
    <w:rsid w:val="00262F44"/>
    <w:rsid w:val="002636F5"/>
    <w:rsid w:val="0026390B"/>
    <w:rsid w:val="00264F6A"/>
    <w:rsid w:val="002653EA"/>
    <w:rsid w:val="002654B7"/>
    <w:rsid w:val="00265B87"/>
    <w:rsid w:val="002665F7"/>
    <w:rsid w:val="00271940"/>
    <w:rsid w:val="00273E9B"/>
    <w:rsid w:val="00276106"/>
    <w:rsid w:val="00276CF9"/>
    <w:rsid w:val="00277028"/>
    <w:rsid w:val="0027757A"/>
    <w:rsid w:val="002807AE"/>
    <w:rsid w:val="002813DD"/>
    <w:rsid w:val="002918EA"/>
    <w:rsid w:val="00292372"/>
    <w:rsid w:val="002933AE"/>
    <w:rsid w:val="002A0423"/>
    <w:rsid w:val="002A06BC"/>
    <w:rsid w:val="002A3A27"/>
    <w:rsid w:val="002A3ECF"/>
    <w:rsid w:val="002A4A43"/>
    <w:rsid w:val="002A51F3"/>
    <w:rsid w:val="002A5D55"/>
    <w:rsid w:val="002A6540"/>
    <w:rsid w:val="002A6905"/>
    <w:rsid w:val="002A6CAB"/>
    <w:rsid w:val="002B09D4"/>
    <w:rsid w:val="002B1DE1"/>
    <w:rsid w:val="002B3226"/>
    <w:rsid w:val="002B32BC"/>
    <w:rsid w:val="002B32CA"/>
    <w:rsid w:val="002C0C2D"/>
    <w:rsid w:val="002C29AC"/>
    <w:rsid w:val="002C352A"/>
    <w:rsid w:val="002C355C"/>
    <w:rsid w:val="002C5D85"/>
    <w:rsid w:val="002C6DC0"/>
    <w:rsid w:val="002C6F56"/>
    <w:rsid w:val="002D0018"/>
    <w:rsid w:val="002D05D7"/>
    <w:rsid w:val="002D1520"/>
    <w:rsid w:val="002D22C7"/>
    <w:rsid w:val="002D3054"/>
    <w:rsid w:val="002D30D5"/>
    <w:rsid w:val="002D4793"/>
    <w:rsid w:val="002D7B93"/>
    <w:rsid w:val="002E01AD"/>
    <w:rsid w:val="002E02F4"/>
    <w:rsid w:val="002E18E3"/>
    <w:rsid w:val="002E32E6"/>
    <w:rsid w:val="002E63B2"/>
    <w:rsid w:val="002F0C1D"/>
    <w:rsid w:val="00301E2C"/>
    <w:rsid w:val="00302132"/>
    <w:rsid w:val="003042BA"/>
    <w:rsid w:val="00304FD1"/>
    <w:rsid w:val="003109F5"/>
    <w:rsid w:val="00311C4B"/>
    <w:rsid w:val="00311FFF"/>
    <w:rsid w:val="00312AA2"/>
    <w:rsid w:val="00314C12"/>
    <w:rsid w:val="00317230"/>
    <w:rsid w:val="003237C3"/>
    <w:rsid w:val="00323DEF"/>
    <w:rsid w:val="00324DBF"/>
    <w:rsid w:val="00325439"/>
    <w:rsid w:val="003265AB"/>
    <w:rsid w:val="00326650"/>
    <w:rsid w:val="003270E0"/>
    <w:rsid w:val="00330A2C"/>
    <w:rsid w:val="0033173A"/>
    <w:rsid w:val="003339CC"/>
    <w:rsid w:val="00333D3F"/>
    <w:rsid w:val="00334749"/>
    <w:rsid w:val="003348E7"/>
    <w:rsid w:val="00335F35"/>
    <w:rsid w:val="00341EF4"/>
    <w:rsid w:val="003433FE"/>
    <w:rsid w:val="00343635"/>
    <w:rsid w:val="003451CC"/>
    <w:rsid w:val="003465BB"/>
    <w:rsid w:val="00346BD5"/>
    <w:rsid w:val="00347391"/>
    <w:rsid w:val="0034752F"/>
    <w:rsid w:val="00347CDE"/>
    <w:rsid w:val="00347EEA"/>
    <w:rsid w:val="0035034D"/>
    <w:rsid w:val="0035046B"/>
    <w:rsid w:val="00350963"/>
    <w:rsid w:val="00350BF0"/>
    <w:rsid w:val="00350ED8"/>
    <w:rsid w:val="0035128B"/>
    <w:rsid w:val="00351742"/>
    <w:rsid w:val="00353154"/>
    <w:rsid w:val="0035423A"/>
    <w:rsid w:val="00355FE4"/>
    <w:rsid w:val="00357590"/>
    <w:rsid w:val="003601D1"/>
    <w:rsid w:val="00362F4B"/>
    <w:rsid w:val="0036344F"/>
    <w:rsid w:val="00363851"/>
    <w:rsid w:val="0036657E"/>
    <w:rsid w:val="003665FD"/>
    <w:rsid w:val="00366D2E"/>
    <w:rsid w:val="00367897"/>
    <w:rsid w:val="00370214"/>
    <w:rsid w:val="003719AB"/>
    <w:rsid w:val="00374307"/>
    <w:rsid w:val="00374BA6"/>
    <w:rsid w:val="00374F25"/>
    <w:rsid w:val="0037573C"/>
    <w:rsid w:val="0037589A"/>
    <w:rsid w:val="003777C8"/>
    <w:rsid w:val="00380032"/>
    <w:rsid w:val="003810F5"/>
    <w:rsid w:val="00381FE3"/>
    <w:rsid w:val="00384E85"/>
    <w:rsid w:val="003854B4"/>
    <w:rsid w:val="00385673"/>
    <w:rsid w:val="00385B58"/>
    <w:rsid w:val="00385E2C"/>
    <w:rsid w:val="003873C9"/>
    <w:rsid w:val="003876FD"/>
    <w:rsid w:val="00387955"/>
    <w:rsid w:val="003903BF"/>
    <w:rsid w:val="0039382B"/>
    <w:rsid w:val="00394F19"/>
    <w:rsid w:val="003950C1"/>
    <w:rsid w:val="003957FC"/>
    <w:rsid w:val="00397645"/>
    <w:rsid w:val="003A2766"/>
    <w:rsid w:val="003A3181"/>
    <w:rsid w:val="003A4F1E"/>
    <w:rsid w:val="003A717F"/>
    <w:rsid w:val="003A78BB"/>
    <w:rsid w:val="003B09F4"/>
    <w:rsid w:val="003B2A8C"/>
    <w:rsid w:val="003B5DCC"/>
    <w:rsid w:val="003C0FF8"/>
    <w:rsid w:val="003C40AE"/>
    <w:rsid w:val="003C7548"/>
    <w:rsid w:val="003D25B5"/>
    <w:rsid w:val="003D2863"/>
    <w:rsid w:val="003D486D"/>
    <w:rsid w:val="003D4DC9"/>
    <w:rsid w:val="003D5FBB"/>
    <w:rsid w:val="003E0EB4"/>
    <w:rsid w:val="003E3249"/>
    <w:rsid w:val="003E3429"/>
    <w:rsid w:val="003E3A1F"/>
    <w:rsid w:val="003E3A3A"/>
    <w:rsid w:val="003E3CDA"/>
    <w:rsid w:val="003E4196"/>
    <w:rsid w:val="003E454E"/>
    <w:rsid w:val="003E4B59"/>
    <w:rsid w:val="003E7DCF"/>
    <w:rsid w:val="003F3058"/>
    <w:rsid w:val="003F56B5"/>
    <w:rsid w:val="003F7797"/>
    <w:rsid w:val="0040116C"/>
    <w:rsid w:val="004014B4"/>
    <w:rsid w:val="0040285B"/>
    <w:rsid w:val="00407201"/>
    <w:rsid w:val="004127D0"/>
    <w:rsid w:val="00413CCB"/>
    <w:rsid w:val="0041489B"/>
    <w:rsid w:val="004165CD"/>
    <w:rsid w:val="00416A7D"/>
    <w:rsid w:val="00420812"/>
    <w:rsid w:val="004214DB"/>
    <w:rsid w:val="00423A6D"/>
    <w:rsid w:val="00426FBD"/>
    <w:rsid w:val="00427720"/>
    <w:rsid w:val="0042777A"/>
    <w:rsid w:val="00431209"/>
    <w:rsid w:val="00433C71"/>
    <w:rsid w:val="00437372"/>
    <w:rsid w:val="00437431"/>
    <w:rsid w:val="00437679"/>
    <w:rsid w:val="00440417"/>
    <w:rsid w:val="00441494"/>
    <w:rsid w:val="00442265"/>
    <w:rsid w:val="004443A2"/>
    <w:rsid w:val="004458BD"/>
    <w:rsid w:val="00446130"/>
    <w:rsid w:val="00447641"/>
    <w:rsid w:val="00447B2E"/>
    <w:rsid w:val="00447B3A"/>
    <w:rsid w:val="004516B3"/>
    <w:rsid w:val="00451A15"/>
    <w:rsid w:val="00452D55"/>
    <w:rsid w:val="00453D12"/>
    <w:rsid w:val="00454AF4"/>
    <w:rsid w:val="00456544"/>
    <w:rsid w:val="004575CA"/>
    <w:rsid w:val="00460168"/>
    <w:rsid w:val="00461272"/>
    <w:rsid w:val="004631A5"/>
    <w:rsid w:val="004670E1"/>
    <w:rsid w:val="004679DF"/>
    <w:rsid w:val="00470027"/>
    <w:rsid w:val="00470F01"/>
    <w:rsid w:val="0047165E"/>
    <w:rsid w:val="00471EE6"/>
    <w:rsid w:val="004771B3"/>
    <w:rsid w:val="00480AD4"/>
    <w:rsid w:val="00480CDB"/>
    <w:rsid w:val="00481DCD"/>
    <w:rsid w:val="00484EAB"/>
    <w:rsid w:val="00485B88"/>
    <w:rsid w:val="00486762"/>
    <w:rsid w:val="00487CA2"/>
    <w:rsid w:val="00491D8F"/>
    <w:rsid w:val="00492941"/>
    <w:rsid w:val="00492F71"/>
    <w:rsid w:val="004933AB"/>
    <w:rsid w:val="004944BC"/>
    <w:rsid w:val="004A10AA"/>
    <w:rsid w:val="004A4095"/>
    <w:rsid w:val="004A5205"/>
    <w:rsid w:val="004B174A"/>
    <w:rsid w:val="004B22B4"/>
    <w:rsid w:val="004B35D0"/>
    <w:rsid w:val="004B4D4C"/>
    <w:rsid w:val="004B5A00"/>
    <w:rsid w:val="004B7F1F"/>
    <w:rsid w:val="004C06C7"/>
    <w:rsid w:val="004C166B"/>
    <w:rsid w:val="004C6285"/>
    <w:rsid w:val="004D1C78"/>
    <w:rsid w:val="004D5F15"/>
    <w:rsid w:val="004D61B3"/>
    <w:rsid w:val="004D7017"/>
    <w:rsid w:val="004D7219"/>
    <w:rsid w:val="004D746D"/>
    <w:rsid w:val="004D7624"/>
    <w:rsid w:val="004D7B3B"/>
    <w:rsid w:val="004E1F43"/>
    <w:rsid w:val="004E2A29"/>
    <w:rsid w:val="004E3016"/>
    <w:rsid w:val="004F071E"/>
    <w:rsid w:val="004F20B8"/>
    <w:rsid w:val="004F730B"/>
    <w:rsid w:val="004F78D1"/>
    <w:rsid w:val="004F7E07"/>
    <w:rsid w:val="00500FDF"/>
    <w:rsid w:val="00501492"/>
    <w:rsid w:val="005016AE"/>
    <w:rsid w:val="005020B5"/>
    <w:rsid w:val="005041AF"/>
    <w:rsid w:val="00504416"/>
    <w:rsid w:val="00507294"/>
    <w:rsid w:val="00507780"/>
    <w:rsid w:val="0051020F"/>
    <w:rsid w:val="00514A44"/>
    <w:rsid w:val="00515458"/>
    <w:rsid w:val="0052065F"/>
    <w:rsid w:val="00520AE6"/>
    <w:rsid w:val="00520CD3"/>
    <w:rsid w:val="0052139C"/>
    <w:rsid w:val="005235D2"/>
    <w:rsid w:val="00523F49"/>
    <w:rsid w:val="005254A6"/>
    <w:rsid w:val="00525604"/>
    <w:rsid w:val="00527025"/>
    <w:rsid w:val="00530A6E"/>
    <w:rsid w:val="00532651"/>
    <w:rsid w:val="00533355"/>
    <w:rsid w:val="005368EC"/>
    <w:rsid w:val="00537386"/>
    <w:rsid w:val="00540668"/>
    <w:rsid w:val="00541FDB"/>
    <w:rsid w:val="00546230"/>
    <w:rsid w:val="00546E47"/>
    <w:rsid w:val="0054799B"/>
    <w:rsid w:val="00547A08"/>
    <w:rsid w:val="005504D6"/>
    <w:rsid w:val="00552472"/>
    <w:rsid w:val="00553AEB"/>
    <w:rsid w:val="0055424B"/>
    <w:rsid w:val="00561638"/>
    <w:rsid w:val="00561D36"/>
    <w:rsid w:val="005627FF"/>
    <w:rsid w:val="00563AC5"/>
    <w:rsid w:val="00566142"/>
    <w:rsid w:val="00567331"/>
    <w:rsid w:val="0057143E"/>
    <w:rsid w:val="005717F8"/>
    <w:rsid w:val="0057219D"/>
    <w:rsid w:val="00574C31"/>
    <w:rsid w:val="00574E72"/>
    <w:rsid w:val="005758C6"/>
    <w:rsid w:val="00575C68"/>
    <w:rsid w:val="00582D67"/>
    <w:rsid w:val="00582DDC"/>
    <w:rsid w:val="0059063C"/>
    <w:rsid w:val="00591C0F"/>
    <w:rsid w:val="00593C5F"/>
    <w:rsid w:val="005959ED"/>
    <w:rsid w:val="00596261"/>
    <w:rsid w:val="0059798F"/>
    <w:rsid w:val="005A0C71"/>
    <w:rsid w:val="005A365C"/>
    <w:rsid w:val="005B230E"/>
    <w:rsid w:val="005B3559"/>
    <w:rsid w:val="005B451F"/>
    <w:rsid w:val="005B5B3B"/>
    <w:rsid w:val="005B63AF"/>
    <w:rsid w:val="005B670D"/>
    <w:rsid w:val="005C15D3"/>
    <w:rsid w:val="005C2BD5"/>
    <w:rsid w:val="005C33CB"/>
    <w:rsid w:val="005C432C"/>
    <w:rsid w:val="005C5AF5"/>
    <w:rsid w:val="005C5EF1"/>
    <w:rsid w:val="005D5657"/>
    <w:rsid w:val="005D5B4E"/>
    <w:rsid w:val="005D5C3F"/>
    <w:rsid w:val="005E3AB3"/>
    <w:rsid w:val="005E4E49"/>
    <w:rsid w:val="005E5240"/>
    <w:rsid w:val="005E6143"/>
    <w:rsid w:val="005E771B"/>
    <w:rsid w:val="005F0267"/>
    <w:rsid w:val="005F4680"/>
    <w:rsid w:val="005F747B"/>
    <w:rsid w:val="00600846"/>
    <w:rsid w:val="0060126D"/>
    <w:rsid w:val="0060183B"/>
    <w:rsid w:val="006023C4"/>
    <w:rsid w:val="00602CCD"/>
    <w:rsid w:val="00602EDE"/>
    <w:rsid w:val="006035A0"/>
    <w:rsid w:val="00605139"/>
    <w:rsid w:val="00606CC9"/>
    <w:rsid w:val="00612A43"/>
    <w:rsid w:val="00612FF5"/>
    <w:rsid w:val="006146AB"/>
    <w:rsid w:val="00615A02"/>
    <w:rsid w:val="006173E3"/>
    <w:rsid w:val="006203D6"/>
    <w:rsid w:val="006205AF"/>
    <w:rsid w:val="00622DE4"/>
    <w:rsid w:val="00623615"/>
    <w:rsid w:val="00623636"/>
    <w:rsid w:val="00627E5F"/>
    <w:rsid w:val="00632678"/>
    <w:rsid w:val="00632E2E"/>
    <w:rsid w:val="006331E4"/>
    <w:rsid w:val="006332A9"/>
    <w:rsid w:val="00636731"/>
    <w:rsid w:val="00637628"/>
    <w:rsid w:val="00640468"/>
    <w:rsid w:val="006419B5"/>
    <w:rsid w:val="00641DD1"/>
    <w:rsid w:val="00642579"/>
    <w:rsid w:val="00642B3A"/>
    <w:rsid w:val="00645093"/>
    <w:rsid w:val="00645351"/>
    <w:rsid w:val="006456B2"/>
    <w:rsid w:val="00645F09"/>
    <w:rsid w:val="00646082"/>
    <w:rsid w:val="00646A7F"/>
    <w:rsid w:val="00651C1A"/>
    <w:rsid w:val="00655D3F"/>
    <w:rsid w:val="00656DA0"/>
    <w:rsid w:val="0066307D"/>
    <w:rsid w:val="006649AF"/>
    <w:rsid w:val="00666FE2"/>
    <w:rsid w:val="00667516"/>
    <w:rsid w:val="00670D4B"/>
    <w:rsid w:val="00671030"/>
    <w:rsid w:val="006715B2"/>
    <w:rsid w:val="006752B8"/>
    <w:rsid w:val="0067647E"/>
    <w:rsid w:val="00676D41"/>
    <w:rsid w:val="00681F6A"/>
    <w:rsid w:val="006833B9"/>
    <w:rsid w:val="00683825"/>
    <w:rsid w:val="006848E9"/>
    <w:rsid w:val="0068499F"/>
    <w:rsid w:val="00684AE5"/>
    <w:rsid w:val="0068532E"/>
    <w:rsid w:val="006853B8"/>
    <w:rsid w:val="00685ECE"/>
    <w:rsid w:val="00686646"/>
    <w:rsid w:val="006875AA"/>
    <w:rsid w:val="00687C76"/>
    <w:rsid w:val="006918C0"/>
    <w:rsid w:val="006923E4"/>
    <w:rsid w:val="00692BFE"/>
    <w:rsid w:val="00692E47"/>
    <w:rsid w:val="0069351C"/>
    <w:rsid w:val="00693D72"/>
    <w:rsid w:val="00693F63"/>
    <w:rsid w:val="00695AC3"/>
    <w:rsid w:val="00697070"/>
    <w:rsid w:val="00697449"/>
    <w:rsid w:val="00697528"/>
    <w:rsid w:val="006A0279"/>
    <w:rsid w:val="006A04AD"/>
    <w:rsid w:val="006A071D"/>
    <w:rsid w:val="006A116D"/>
    <w:rsid w:val="006A1239"/>
    <w:rsid w:val="006A1EBC"/>
    <w:rsid w:val="006A3D3E"/>
    <w:rsid w:val="006A3D75"/>
    <w:rsid w:val="006A435C"/>
    <w:rsid w:val="006A44B5"/>
    <w:rsid w:val="006A5954"/>
    <w:rsid w:val="006A784B"/>
    <w:rsid w:val="006A7D31"/>
    <w:rsid w:val="006B1210"/>
    <w:rsid w:val="006B2B95"/>
    <w:rsid w:val="006B4DC6"/>
    <w:rsid w:val="006B5619"/>
    <w:rsid w:val="006B6254"/>
    <w:rsid w:val="006B6526"/>
    <w:rsid w:val="006C0633"/>
    <w:rsid w:val="006C3433"/>
    <w:rsid w:val="006C5E25"/>
    <w:rsid w:val="006C5EDC"/>
    <w:rsid w:val="006C6D44"/>
    <w:rsid w:val="006C7B9E"/>
    <w:rsid w:val="006D0F8D"/>
    <w:rsid w:val="006D234F"/>
    <w:rsid w:val="006D2586"/>
    <w:rsid w:val="006D3574"/>
    <w:rsid w:val="006D4F7C"/>
    <w:rsid w:val="006D5C7A"/>
    <w:rsid w:val="006E13FF"/>
    <w:rsid w:val="006E222A"/>
    <w:rsid w:val="006E57D1"/>
    <w:rsid w:val="006E58A7"/>
    <w:rsid w:val="006E7AA5"/>
    <w:rsid w:val="006F032D"/>
    <w:rsid w:val="006F04C8"/>
    <w:rsid w:val="006F082D"/>
    <w:rsid w:val="006F0898"/>
    <w:rsid w:val="006F1E9A"/>
    <w:rsid w:val="006F3599"/>
    <w:rsid w:val="006F37BC"/>
    <w:rsid w:val="006F6FFB"/>
    <w:rsid w:val="006F720F"/>
    <w:rsid w:val="0070016F"/>
    <w:rsid w:val="007017A0"/>
    <w:rsid w:val="00701A73"/>
    <w:rsid w:val="0070351C"/>
    <w:rsid w:val="0070458F"/>
    <w:rsid w:val="00705CD7"/>
    <w:rsid w:val="007068D0"/>
    <w:rsid w:val="0070697F"/>
    <w:rsid w:val="00706D8F"/>
    <w:rsid w:val="007108C0"/>
    <w:rsid w:val="007125F8"/>
    <w:rsid w:val="00715244"/>
    <w:rsid w:val="00715C7C"/>
    <w:rsid w:val="007225A7"/>
    <w:rsid w:val="00722A25"/>
    <w:rsid w:val="00723198"/>
    <w:rsid w:val="00726506"/>
    <w:rsid w:val="0072696F"/>
    <w:rsid w:val="00727187"/>
    <w:rsid w:val="00727BD2"/>
    <w:rsid w:val="00727D2D"/>
    <w:rsid w:val="007311E8"/>
    <w:rsid w:val="007320B3"/>
    <w:rsid w:val="00732F9E"/>
    <w:rsid w:val="00732FEF"/>
    <w:rsid w:val="0073324B"/>
    <w:rsid w:val="00733EC9"/>
    <w:rsid w:val="0073696E"/>
    <w:rsid w:val="007371A0"/>
    <w:rsid w:val="00740300"/>
    <w:rsid w:val="007424D1"/>
    <w:rsid w:val="007472FF"/>
    <w:rsid w:val="007501D5"/>
    <w:rsid w:val="00750C31"/>
    <w:rsid w:val="00751927"/>
    <w:rsid w:val="00751C0E"/>
    <w:rsid w:val="00753DBB"/>
    <w:rsid w:val="00754D85"/>
    <w:rsid w:val="007578D6"/>
    <w:rsid w:val="00762C39"/>
    <w:rsid w:val="007648DD"/>
    <w:rsid w:val="007650DE"/>
    <w:rsid w:val="00765E9D"/>
    <w:rsid w:val="007660A5"/>
    <w:rsid w:val="00766501"/>
    <w:rsid w:val="00767844"/>
    <w:rsid w:val="00771B03"/>
    <w:rsid w:val="00773F34"/>
    <w:rsid w:val="0077636E"/>
    <w:rsid w:val="007768CF"/>
    <w:rsid w:val="0078104C"/>
    <w:rsid w:val="00782F7C"/>
    <w:rsid w:val="007854CA"/>
    <w:rsid w:val="00786F18"/>
    <w:rsid w:val="00792633"/>
    <w:rsid w:val="00794ADC"/>
    <w:rsid w:val="00794D0F"/>
    <w:rsid w:val="00797CB4"/>
    <w:rsid w:val="007A103C"/>
    <w:rsid w:val="007A1606"/>
    <w:rsid w:val="007A30C1"/>
    <w:rsid w:val="007A3470"/>
    <w:rsid w:val="007A395C"/>
    <w:rsid w:val="007A61FA"/>
    <w:rsid w:val="007A65C9"/>
    <w:rsid w:val="007A7231"/>
    <w:rsid w:val="007A7A45"/>
    <w:rsid w:val="007A7E2F"/>
    <w:rsid w:val="007B022B"/>
    <w:rsid w:val="007B15EB"/>
    <w:rsid w:val="007B1A1D"/>
    <w:rsid w:val="007B1DBF"/>
    <w:rsid w:val="007B2051"/>
    <w:rsid w:val="007B3F20"/>
    <w:rsid w:val="007B4845"/>
    <w:rsid w:val="007B5827"/>
    <w:rsid w:val="007B62AB"/>
    <w:rsid w:val="007B6B4D"/>
    <w:rsid w:val="007B72FA"/>
    <w:rsid w:val="007B7FD0"/>
    <w:rsid w:val="007C01A6"/>
    <w:rsid w:val="007C01E7"/>
    <w:rsid w:val="007C2C90"/>
    <w:rsid w:val="007C3978"/>
    <w:rsid w:val="007C5007"/>
    <w:rsid w:val="007C567C"/>
    <w:rsid w:val="007C5FC8"/>
    <w:rsid w:val="007C75D9"/>
    <w:rsid w:val="007C7CBA"/>
    <w:rsid w:val="007D12D9"/>
    <w:rsid w:val="007D5C09"/>
    <w:rsid w:val="007D6574"/>
    <w:rsid w:val="007E02FA"/>
    <w:rsid w:val="007E0518"/>
    <w:rsid w:val="007E2372"/>
    <w:rsid w:val="007E2D04"/>
    <w:rsid w:val="007E62CF"/>
    <w:rsid w:val="007E6737"/>
    <w:rsid w:val="007F045D"/>
    <w:rsid w:val="007F0488"/>
    <w:rsid w:val="007F0E10"/>
    <w:rsid w:val="007F3F9B"/>
    <w:rsid w:val="007F423C"/>
    <w:rsid w:val="007F5371"/>
    <w:rsid w:val="007F5696"/>
    <w:rsid w:val="007F5E2C"/>
    <w:rsid w:val="008000C0"/>
    <w:rsid w:val="0080019C"/>
    <w:rsid w:val="008019E1"/>
    <w:rsid w:val="00802528"/>
    <w:rsid w:val="00802D57"/>
    <w:rsid w:val="00804557"/>
    <w:rsid w:val="00807921"/>
    <w:rsid w:val="00810B49"/>
    <w:rsid w:val="00812213"/>
    <w:rsid w:val="0081285B"/>
    <w:rsid w:val="00813F9B"/>
    <w:rsid w:val="008146A2"/>
    <w:rsid w:val="00817E1A"/>
    <w:rsid w:val="0082215C"/>
    <w:rsid w:val="00822500"/>
    <w:rsid w:val="0082428E"/>
    <w:rsid w:val="0082552C"/>
    <w:rsid w:val="00825B1B"/>
    <w:rsid w:val="00826464"/>
    <w:rsid w:val="00826E77"/>
    <w:rsid w:val="00832876"/>
    <w:rsid w:val="00832DC8"/>
    <w:rsid w:val="00832E11"/>
    <w:rsid w:val="008349D2"/>
    <w:rsid w:val="00834FB4"/>
    <w:rsid w:val="00837163"/>
    <w:rsid w:val="008378E7"/>
    <w:rsid w:val="0084032E"/>
    <w:rsid w:val="008418A8"/>
    <w:rsid w:val="008428CB"/>
    <w:rsid w:val="008432E8"/>
    <w:rsid w:val="00844340"/>
    <w:rsid w:val="00844C0A"/>
    <w:rsid w:val="008519D6"/>
    <w:rsid w:val="00851AE4"/>
    <w:rsid w:val="00853916"/>
    <w:rsid w:val="00861203"/>
    <w:rsid w:val="00861BE1"/>
    <w:rsid w:val="0086308C"/>
    <w:rsid w:val="008635AE"/>
    <w:rsid w:val="00863887"/>
    <w:rsid w:val="00863F60"/>
    <w:rsid w:val="008643F2"/>
    <w:rsid w:val="00864880"/>
    <w:rsid w:val="00864BDC"/>
    <w:rsid w:val="00864CA9"/>
    <w:rsid w:val="00864ED1"/>
    <w:rsid w:val="00867CC4"/>
    <w:rsid w:val="00870B06"/>
    <w:rsid w:val="00870B25"/>
    <w:rsid w:val="00874215"/>
    <w:rsid w:val="00875622"/>
    <w:rsid w:val="00876688"/>
    <w:rsid w:val="0087785D"/>
    <w:rsid w:val="00882020"/>
    <w:rsid w:val="00882F6D"/>
    <w:rsid w:val="00883FDF"/>
    <w:rsid w:val="00887A73"/>
    <w:rsid w:val="0089050D"/>
    <w:rsid w:val="0089195F"/>
    <w:rsid w:val="008925EF"/>
    <w:rsid w:val="008943B4"/>
    <w:rsid w:val="008954BD"/>
    <w:rsid w:val="00896D58"/>
    <w:rsid w:val="00897678"/>
    <w:rsid w:val="008A24D1"/>
    <w:rsid w:val="008A34DE"/>
    <w:rsid w:val="008A5986"/>
    <w:rsid w:val="008A73E2"/>
    <w:rsid w:val="008B1677"/>
    <w:rsid w:val="008B430F"/>
    <w:rsid w:val="008B487A"/>
    <w:rsid w:val="008B5415"/>
    <w:rsid w:val="008B616B"/>
    <w:rsid w:val="008C21F3"/>
    <w:rsid w:val="008C464D"/>
    <w:rsid w:val="008C739E"/>
    <w:rsid w:val="008D1D42"/>
    <w:rsid w:val="008D3B21"/>
    <w:rsid w:val="008D44C0"/>
    <w:rsid w:val="008D4B13"/>
    <w:rsid w:val="008D6ED4"/>
    <w:rsid w:val="008E096D"/>
    <w:rsid w:val="008E2169"/>
    <w:rsid w:val="008E3C33"/>
    <w:rsid w:val="008E403F"/>
    <w:rsid w:val="008E4C14"/>
    <w:rsid w:val="008E6181"/>
    <w:rsid w:val="008E693E"/>
    <w:rsid w:val="008F02A8"/>
    <w:rsid w:val="008F0DA0"/>
    <w:rsid w:val="008F0DD0"/>
    <w:rsid w:val="008F19A5"/>
    <w:rsid w:val="008F1DAD"/>
    <w:rsid w:val="008F2D54"/>
    <w:rsid w:val="008F2D78"/>
    <w:rsid w:val="008F35CD"/>
    <w:rsid w:val="008F3774"/>
    <w:rsid w:val="008F3A87"/>
    <w:rsid w:val="008F53F3"/>
    <w:rsid w:val="008F6321"/>
    <w:rsid w:val="008F774A"/>
    <w:rsid w:val="009024DD"/>
    <w:rsid w:val="009031D8"/>
    <w:rsid w:val="00905AB8"/>
    <w:rsid w:val="00905C2E"/>
    <w:rsid w:val="00907660"/>
    <w:rsid w:val="0091020B"/>
    <w:rsid w:val="00910AB5"/>
    <w:rsid w:val="00911CF8"/>
    <w:rsid w:val="00912736"/>
    <w:rsid w:val="00912C32"/>
    <w:rsid w:val="00914AA0"/>
    <w:rsid w:val="00915C60"/>
    <w:rsid w:val="00920FD1"/>
    <w:rsid w:val="00925889"/>
    <w:rsid w:val="00926027"/>
    <w:rsid w:val="00926A81"/>
    <w:rsid w:val="00926D0F"/>
    <w:rsid w:val="009273D4"/>
    <w:rsid w:val="0093014D"/>
    <w:rsid w:val="0093136F"/>
    <w:rsid w:val="0093412A"/>
    <w:rsid w:val="00935759"/>
    <w:rsid w:val="009379E0"/>
    <w:rsid w:val="00937CAD"/>
    <w:rsid w:val="00940CBF"/>
    <w:rsid w:val="009418A0"/>
    <w:rsid w:val="009423A1"/>
    <w:rsid w:val="00942D59"/>
    <w:rsid w:val="0094355A"/>
    <w:rsid w:val="00943D25"/>
    <w:rsid w:val="00943F09"/>
    <w:rsid w:val="00944551"/>
    <w:rsid w:val="0094487B"/>
    <w:rsid w:val="00945291"/>
    <w:rsid w:val="009452E1"/>
    <w:rsid w:val="00946F73"/>
    <w:rsid w:val="009478D0"/>
    <w:rsid w:val="009530E8"/>
    <w:rsid w:val="009533B7"/>
    <w:rsid w:val="00954CC2"/>
    <w:rsid w:val="009552B2"/>
    <w:rsid w:val="00956068"/>
    <w:rsid w:val="00961E23"/>
    <w:rsid w:val="00961ECB"/>
    <w:rsid w:val="00962C08"/>
    <w:rsid w:val="0096358E"/>
    <w:rsid w:val="0096633D"/>
    <w:rsid w:val="0096691F"/>
    <w:rsid w:val="00967E16"/>
    <w:rsid w:val="00970DD3"/>
    <w:rsid w:val="00971100"/>
    <w:rsid w:val="00974E9A"/>
    <w:rsid w:val="00976445"/>
    <w:rsid w:val="009764E9"/>
    <w:rsid w:val="00976F0C"/>
    <w:rsid w:val="00982517"/>
    <w:rsid w:val="00982814"/>
    <w:rsid w:val="009854B0"/>
    <w:rsid w:val="00987CAF"/>
    <w:rsid w:val="00990292"/>
    <w:rsid w:val="00991D1A"/>
    <w:rsid w:val="0099240B"/>
    <w:rsid w:val="00994A71"/>
    <w:rsid w:val="009955E0"/>
    <w:rsid w:val="00995AE4"/>
    <w:rsid w:val="00995C1A"/>
    <w:rsid w:val="00995EDC"/>
    <w:rsid w:val="00997750"/>
    <w:rsid w:val="00997BB3"/>
    <w:rsid w:val="009A08AE"/>
    <w:rsid w:val="009A09A6"/>
    <w:rsid w:val="009A0FD0"/>
    <w:rsid w:val="009A185A"/>
    <w:rsid w:val="009A2434"/>
    <w:rsid w:val="009A2E6E"/>
    <w:rsid w:val="009A490C"/>
    <w:rsid w:val="009A724B"/>
    <w:rsid w:val="009B0269"/>
    <w:rsid w:val="009B0FDC"/>
    <w:rsid w:val="009B16A7"/>
    <w:rsid w:val="009B1F52"/>
    <w:rsid w:val="009B2699"/>
    <w:rsid w:val="009B2E4B"/>
    <w:rsid w:val="009B45AB"/>
    <w:rsid w:val="009B4F72"/>
    <w:rsid w:val="009B5486"/>
    <w:rsid w:val="009B69BC"/>
    <w:rsid w:val="009B7174"/>
    <w:rsid w:val="009B7500"/>
    <w:rsid w:val="009B7C9C"/>
    <w:rsid w:val="009C015E"/>
    <w:rsid w:val="009C01BC"/>
    <w:rsid w:val="009C0CC7"/>
    <w:rsid w:val="009C0F3E"/>
    <w:rsid w:val="009C3DF1"/>
    <w:rsid w:val="009C50D4"/>
    <w:rsid w:val="009C5A5D"/>
    <w:rsid w:val="009C6EC2"/>
    <w:rsid w:val="009C74DD"/>
    <w:rsid w:val="009D022C"/>
    <w:rsid w:val="009D07DC"/>
    <w:rsid w:val="009D132D"/>
    <w:rsid w:val="009D22BF"/>
    <w:rsid w:val="009D3521"/>
    <w:rsid w:val="009D4E86"/>
    <w:rsid w:val="009D60A1"/>
    <w:rsid w:val="009D72E9"/>
    <w:rsid w:val="009D76BC"/>
    <w:rsid w:val="009E0589"/>
    <w:rsid w:val="009E060A"/>
    <w:rsid w:val="009E10A4"/>
    <w:rsid w:val="009E146E"/>
    <w:rsid w:val="009E25E1"/>
    <w:rsid w:val="009E26B3"/>
    <w:rsid w:val="009E2CA5"/>
    <w:rsid w:val="009E2EE8"/>
    <w:rsid w:val="009E3611"/>
    <w:rsid w:val="009E6E3E"/>
    <w:rsid w:val="009F0E01"/>
    <w:rsid w:val="009F10DC"/>
    <w:rsid w:val="009F1217"/>
    <w:rsid w:val="009F4C55"/>
    <w:rsid w:val="009F5E65"/>
    <w:rsid w:val="009F6AB9"/>
    <w:rsid w:val="009F6D32"/>
    <w:rsid w:val="009F7448"/>
    <w:rsid w:val="00A01022"/>
    <w:rsid w:val="00A0128E"/>
    <w:rsid w:val="00A02881"/>
    <w:rsid w:val="00A02EF2"/>
    <w:rsid w:val="00A051F7"/>
    <w:rsid w:val="00A07CB0"/>
    <w:rsid w:val="00A106BA"/>
    <w:rsid w:val="00A118AD"/>
    <w:rsid w:val="00A13376"/>
    <w:rsid w:val="00A13E57"/>
    <w:rsid w:val="00A14383"/>
    <w:rsid w:val="00A15901"/>
    <w:rsid w:val="00A16153"/>
    <w:rsid w:val="00A17736"/>
    <w:rsid w:val="00A209A5"/>
    <w:rsid w:val="00A20A90"/>
    <w:rsid w:val="00A20C4C"/>
    <w:rsid w:val="00A21432"/>
    <w:rsid w:val="00A24860"/>
    <w:rsid w:val="00A254A4"/>
    <w:rsid w:val="00A260D1"/>
    <w:rsid w:val="00A30FEC"/>
    <w:rsid w:val="00A3357C"/>
    <w:rsid w:val="00A352BA"/>
    <w:rsid w:val="00A36B20"/>
    <w:rsid w:val="00A408DE"/>
    <w:rsid w:val="00A45571"/>
    <w:rsid w:val="00A461CD"/>
    <w:rsid w:val="00A466E5"/>
    <w:rsid w:val="00A53D87"/>
    <w:rsid w:val="00A54B9D"/>
    <w:rsid w:val="00A56D47"/>
    <w:rsid w:val="00A611EA"/>
    <w:rsid w:val="00A626B7"/>
    <w:rsid w:val="00A628DA"/>
    <w:rsid w:val="00A62A91"/>
    <w:rsid w:val="00A62C9F"/>
    <w:rsid w:val="00A63B58"/>
    <w:rsid w:val="00A63B9A"/>
    <w:rsid w:val="00A6416C"/>
    <w:rsid w:val="00A65CA3"/>
    <w:rsid w:val="00A66BA8"/>
    <w:rsid w:val="00A66DEF"/>
    <w:rsid w:val="00A70B9C"/>
    <w:rsid w:val="00A71D09"/>
    <w:rsid w:val="00A72D2B"/>
    <w:rsid w:val="00A73253"/>
    <w:rsid w:val="00A73323"/>
    <w:rsid w:val="00A73928"/>
    <w:rsid w:val="00A75C48"/>
    <w:rsid w:val="00A7772D"/>
    <w:rsid w:val="00A82ACA"/>
    <w:rsid w:val="00A87AD8"/>
    <w:rsid w:val="00A944B2"/>
    <w:rsid w:val="00A9464C"/>
    <w:rsid w:val="00A947CD"/>
    <w:rsid w:val="00A94CF2"/>
    <w:rsid w:val="00A96077"/>
    <w:rsid w:val="00A9645C"/>
    <w:rsid w:val="00A969A4"/>
    <w:rsid w:val="00AA14A9"/>
    <w:rsid w:val="00AA28C6"/>
    <w:rsid w:val="00AA5A7C"/>
    <w:rsid w:val="00AA5FE6"/>
    <w:rsid w:val="00AA78CA"/>
    <w:rsid w:val="00AA7D1A"/>
    <w:rsid w:val="00AB1134"/>
    <w:rsid w:val="00AB2FF1"/>
    <w:rsid w:val="00AB3BDB"/>
    <w:rsid w:val="00AB47BB"/>
    <w:rsid w:val="00AB4E54"/>
    <w:rsid w:val="00AC3418"/>
    <w:rsid w:val="00AC4EB6"/>
    <w:rsid w:val="00AC662A"/>
    <w:rsid w:val="00AC79FA"/>
    <w:rsid w:val="00AD366A"/>
    <w:rsid w:val="00AD402D"/>
    <w:rsid w:val="00AD7EC2"/>
    <w:rsid w:val="00AE2D01"/>
    <w:rsid w:val="00AE3E89"/>
    <w:rsid w:val="00AE43C3"/>
    <w:rsid w:val="00AE5104"/>
    <w:rsid w:val="00AE6067"/>
    <w:rsid w:val="00AE7189"/>
    <w:rsid w:val="00AF0487"/>
    <w:rsid w:val="00AF05F3"/>
    <w:rsid w:val="00AF09EC"/>
    <w:rsid w:val="00AF369B"/>
    <w:rsid w:val="00AF57B7"/>
    <w:rsid w:val="00AF6052"/>
    <w:rsid w:val="00AF6478"/>
    <w:rsid w:val="00B0395A"/>
    <w:rsid w:val="00B040F2"/>
    <w:rsid w:val="00B12271"/>
    <w:rsid w:val="00B124BE"/>
    <w:rsid w:val="00B1309B"/>
    <w:rsid w:val="00B132C0"/>
    <w:rsid w:val="00B14F58"/>
    <w:rsid w:val="00B155E1"/>
    <w:rsid w:val="00B1676A"/>
    <w:rsid w:val="00B16D88"/>
    <w:rsid w:val="00B17053"/>
    <w:rsid w:val="00B17784"/>
    <w:rsid w:val="00B20936"/>
    <w:rsid w:val="00B20C33"/>
    <w:rsid w:val="00B22474"/>
    <w:rsid w:val="00B22800"/>
    <w:rsid w:val="00B2419C"/>
    <w:rsid w:val="00B257A0"/>
    <w:rsid w:val="00B25AA9"/>
    <w:rsid w:val="00B26B98"/>
    <w:rsid w:val="00B27CCF"/>
    <w:rsid w:val="00B30711"/>
    <w:rsid w:val="00B3441B"/>
    <w:rsid w:val="00B347DB"/>
    <w:rsid w:val="00B34AB6"/>
    <w:rsid w:val="00B40630"/>
    <w:rsid w:val="00B4168F"/>
    <w:rsid w:val="00B43C4B"/>
    <w:rsid w:val="00B442D6"/>
    <w:rsid w:val="00B46D16"/>
    <w:rsid w:val="00B53677"/>
    <w:rsid w:val="00B53809"/>
    <w:rsid w:val="00B54959"/>
    <w:rsid w:val="00B56E60"/>
    <w:rsid w:val="00B60BF3"/>
    <w:rsid w:val="00B636A4"/>
    <w:rsid w:val="00B67B57"/>
    <w:rsid w:val="00B71906"/>
    <w:rsid w:val="00B71F7D"/>
    <w:rsid w:val="00B72B58"/>
    <w:rsid w:val="00B72F60"/>
    <w:rsid w:val="00B76C92"/>
    <w:rsid w:val="00B83352"/>
    <w:rsid w:val="00B84931"/>
    <w:rsid w:val="00B84E13"/>
    <w:rsid w:val="00B85276"/>
    <w:rsid w:val="00B861FA"/>
    <w:rsid w:val="00B865B8"/>
    <w:rsid w:val="00B86896"/>
    <w:rsid w:val="00B9074F"/>
    <w:rsid w:val="00B90ABE"/>
    <w:rsid w:val="00B9268F"/>
    <w:rsid w:val="00B9352E"/>
    <w:rsid w:val="00B94415"/>
    <w:rsid w:val="00B945AB"/>
    <w:rsid w:val="00B966C8"/>
    <w:rsid w:val="00B97C6C"/>
    <w:rsid w:val="00BA06FD"/>
    <w:rsid w:val="00BA0FB7"/>
    <w:rsid w:val="00BA10EB"/>
    <w:rsid w:val="00BA114C"/>
    <w:rsid w:val="00BA2FF7"/>
    <w:rsid w:val="00BA3052"/>
    <w:rsid w:val="00BA4042"/>
    <w:rsid w:val="00BA4E6F"/>
    <w:rsid w:val="00BA5F62"/>
    <w:rsid w:val="00BA6FDC"/>
    <w:rsid w:val="00BA704F"/>
    <w:rsid w:val="00BB17D1"/>
    <w:rsid w:val="00BB19DD"/>
    <w:rsid w:val="00BB1D2D"/>
    <w:rsid w:val="00BB24E6"/>
    <w:rsid w:val="00BB2A71"/>
    <w:rsid w:val="00BB2A8B"/>
    <w:rsid w:val="00BB5EAA"/>
    <w:rsid w:val="00BC2157"/>
    <w:rsid w:val="00BC6AE7"/>
    <w:rsid w:val="00BD34F7"/>
    <w:rsid w:val="00BD665A"/>
    <w:rsid w:val="00BD6DBD"/>
    <w:rsid w:val="00BE2A82"/>
    <w:rsid w:val="00BE4579"/>
    <w:rsid w:val="00BE515C"/>
    <w:rsid w:val="00BE56CB"/>
    <w:rsid w:val="00BF2E7B"/>
    <w:rsid w:val="00BF2F28"/>
    <w:rsid w:val="00BF3276"/>
    <w:rsid w:val="00BF3333"/>
    <w:rsid w:val="00BF5BFC"/>
    <w:rsid w:val="00BF7062"/>
    <w:rsid w:val="00BF73AD"/>
    <w:rsid w:val="00C01EFB"/>
    <w:rsid w:val="00C0433E"/>
    <w:rsid w:val="00C0487F"/>
    <w:rsid w:val="00C07FDB"/>
    <w:rsid w:val="00C10001"/>
    <w:rsid w:val="00C13E5E"/>
    <w:rsid w:val="00C148F1"/>
    <w:rsid w:val="00C14E25"/>
    <w:rsid w:val="00C15405"/>
    <w:rsid w:val="00C205B2"/>
    <w:rsid w:val="00C21B80"/>
    <w:rsid w:val="00C22BB7"/>
    <w:rsid w:val="00C23FEC"/>
    <w:rsid w:val="00C24BEC"/>
    <w:rsid w:val="00C25FA1"/>
    <w:rsid w:val="00C2639B"/>
    <w:rsid w:val="00C26E4D"/>
    <w:rsid w:val="00C27A51"/>
    <w:rsid w:val="00C316C6"/>
    <w:rsid w:val="00C31934"/>
    <w:rsid w:val="00C33AF3"/>
    <w:rsid w:val="00C405FF"/>
    <w:rsid w:val="00C421A5"/>
    <w:rsid w:val="00C422C7"/>
    <w:rsid w:val="00C4496E"/>
    <w:rsid w:val="00C50F9D"/>
    <w:rsid w:val="00C5272C"/>
    <w:rsid w:val="00C5322D"/>
    <w:rsid w:val="00C5569B"/>
    <w:rsid w:val="00C55B99"/>
    <w:rsid w:val="00C564EF"/>
    <w:rsid w:val="00C62334"/>
    <w:rsid w:val="00C62980"/>
    <w:rsid w:val="00C6511F"/>
    <w:rsid w:val="00C66020"/>
    <w:rsid w:val="00C67AE6"/>
    <w:rsid w:val="00C67D4A"/>
    <w:rsid w:val="00C706E7"/>
    <w:rsid w:val="00C70F84"/>
    <w:rsid w:val="00C7111C"/>
    <w:rsid w:val="00C71797"/>
    <w:rsid w:val="00C722BF"/>
    <w:rsid w:val="00C726BC"/>
    <w:rsid w:val="00C74F8B"/>
    <w:rsid w:val="00C76F4D"/>
    <w:rsid w:val="00C8160E"/>
    <w:rsid w:val="00C82D89"/>
    <w:rsid w:val="00C83B7D"/>
    <w:rsid w:val="00C8489B"/>
    <w:rsid w:val="00C84F48"/>
    <w:rsid w:val="00C85677"/>
    <w:rsid w:val="00C85ED5"/>
    <w:rsid w:val="00C8645E"/>
    <w:rsid w:val="00C869CF"/>
    <w:rsid w:val="00C90BCB"/>
    <w:rsid w:val="00C92A32"/>
    <w:rsid w:val="00C92E04"/>
    <w:rsid w:val="00C92F58"/>
    <w:rsid w:val="00C96DEC"/>
    <w:rsid w:val="00C97618"/>
    <w:rsid w:val="00C97738"/>
    <w:rsid w:val="00CA09DC"/>
    <w:rsid w:val="00CA2481"/>
    <w:rsid w:val="00CA5625"/>
    <w:rsid w:val="00CA5E7A"/>
    <w:rsid w:val="00CA7777"/>
    <w:rsid w:val="00CB0D6A"/>
    <w:rsid w:val="00CB0DAA"/>
    <w:rsid w:val="00CB18BD"/>
    <w:rsid w:val="00CB24B5"/>
    <w:rsid w:val="00CB55FF"/>
    <w:rsid w:val="00CB5E76"/>
    <w:rsid w:val="00CC0030"/>
    <w:rsid w:val="00CC0143"/>
    <w:rsid w:val="00CC0DDE"/>
    <w:rsid w:val="00CC1172"/>
    <w:rsid w:val="00CC12AA"/>
    <w:rsid w:val="00CC2208"/>
    <w:rsid w:val="00CC28CE"/>
    <w:rsid w:val="00CD1A16"/>
    <w:rsid w:val="00CD1C01"/>
    <w:rsid w:val="00CD1D6B"/>
    <w:rsid w:val="00CD4A6B"/>
    <w:rsid w:val="00CD6065"/>
    <w:rsid w:val="00CD6916"/>
    <w:rsid w:val="00CD6FD0"/>
    <w:rsid w:val="00CD702F"/>
    <w:rsid w:val="00CD7AC1"/>
    <w:rsid w:val="00CE3674"/>
    <w:rsid w:val="00CF0E6F"/>
    <w:rsid w:val="00CF135F"/>
    <w:rsid w:val="00CF3392"/>
    <w:rsid w:val="00CF3D2E"/>
    <w:rsid w:val="00CF3DA9"/>
    <w:rsid w:val="00CF3EA1"/>
    <w:rsid w:val="00CF5E94"/>
    <w:rsid w:val="00CF7228"/>
    <w:rsid w:val="00D00E59"/>
    <w:rsid w:val="00D01DE1"/>
    <w:rsid w:val="00D02C82"/>
    <w:rsid w:val="00D0571C"/>
    <w:rsid w:val="00D06563"/>
    <w:rsid w:val="00D06DE9"/>
    <w:rsid w:val="00D07168"/>
    <w:rsid w:val="00D12983"/>
    <w:rsid w:val="00D131B5"/>
    <w:rsid w:val="00D1337B"/>
    <w:rsid w:val="00D14AFE"/>
    <w:rsid w:val="00D15346"/>
    <w:rsid w:val="00D20507"/>
    <w:rsid w:val="00D20647"/>
    <w:rsid w:val="00D21502"/>
    <w:rsid w:val="00D21722"/>
    <w:rsid w:val="00D227A6"/>
    <w:rsid w:val="00D23AA6"/>
    <w:rsid w:val="00D240C6"/>
    <w:rsid w:val="00D245FB"/>
    <w:rsid w:val="00D25201"/>
    <w:rsid w:val="00D316E4"/>
    <w:rsid w:val="00D31AEB"/>
    <w:rsid w:val="00D32301"/>
    <w:rsid w:val="00D32F4D"/>
    <w:rsid w:val="00D360FA"/>
    <w:rsid w:val="00D40374"/>
    <w:rsid w:val="00D40948"/>
    <w:rsid w:val="00D40DEE"/>
    <w:rsid w:val="00D470AD"/>
    <w:rsid w:val="00D5138F"/>
    <w:rsid w:val="00D51EC3"/>
    <w:rsid w:val="00D53287"/>
    <w:rsid w:val="00D54F3B"/>
    <w:rsid w:val="00D564E6"/>
    <w:rsid w:val="00D56F2E"/>
    <w:rsid w:val="00D6113A"/>
    <w:rsid w:val="00D63C05"/>
    <w:rsid w:val="00D643E6"/>
    <w:rsid w:val="00D649D6"/>
    <w:rsid w:val="00D65164"/>
    <w:rsid w:val="00D6652D"/>
    <w:rsid w:val="00D708D3"/>
    <w:rsid w:val="00D7245F"/>
    <w:rsid w:val="00D736C5"/>
    <w:rsid w:val="00D7395F"/>
    <w:rsid w:val="00D75910"/>
    <w:rsid w:val="00D772D1"/>
    <w:rsid w:val="00D77A5F"/>
    <w:rsid w:val="00D82747"/>
    <w:rsid w:val="00D83042"/>
    <w:rsid w:val="00D838F7"/>
    <w:rsid w:val="00D8612B"/>
    <w:rsid w:val="00D86904"/>
    <w:rsid w:val="00D905CA"/>
    <w:rsid w:val="00D937BE"/>
    <w:rsid w:val="00D942E7"/>
    <w:rsid w:val="00D9582A"/>
    <w:rsid w:val="00D9695C"/>
    <w:rsid w:val="00D97E98"/>
    <w:rsid w:val="00DA1E5D"/>
    <w:rsid w:val="00DA3C23"/>
    <w:rsid w:val="00DA406B"/>
    <w:rsid w:val="00DA4BB9"/>
    <w:rsid w:val="00DA5051"/>
    <w:rsid w:val="00DA5682"/>
    <w:rsid w:val="00DA57F5"/>
    <w:rsid w:val="00DA78F2"/>
    <w:rsid w:val="00DB00FD"/>
    <w:rsid w:val="00DB1418"/>
    <w:rsid w:val="00DB3917"/>
    <w:rsid w:val="00DB4656"/>
    <w:rsid w:val="00DC0740"/>
    <w:rsid w:val="00DC148A"/>
    <w:rsid w:val="00DC21D2"/>
    <w:rsid w:val="00DC296B"/>
    <w:rsid w:val="00DC2B77"/>
    <w:rsid w:val="00DC3820"/>
    <w:rsid w:val="00DC3DA9"/>
    <w:rsid w:val="00DC51AE"/>
    <w:rsid w:val="00DC6A11"/>
    <w:rsid w:val="00DC6E50"/>
    <w:rsid w:val="00DC7FC3"/>
    <w:rsid w:val="00DD0EED"/>
    <w:rsid w:val="00DD1169"/>
    <w:rsid w:val="00DD17AB"/>
    <w:rsid w:val="00DD1808"/>
    <w:rsid w:val="00DD1EB3"/>
    <w:rsid w:val="00DD2BA3"/>
    <w:rsid w:val="00DD3551"/>
    <w:rsid w:val="00DD423F"/>
    <w:rsid w:val="00DD46C5"/>
    <w:rsid w:val="00DD6B9D"/>
    <w:rsid w:val="00DE1067"/>
    <w:rsid w:val="00DE2A60"/>
    <w:rsid w:val="00DE51C5"/>
    <w:rsid w:val="00DE68DB"/>
    <w:rsid w:val="00DE6AFC"/>
    <w:rsid w:val="00DE7164"/>
    <w:rsid w:val="00DE7C53"/>
    <w:rsid w:val="00DF2B04"/>
    <w:rsid w:val="00DF2E1D"/>
    <w:rsid w:val="00DF6460"/>
    <w:rsid w:val="00E00674"/>
    <w:rsid w:val="00E01BED"/>
    <w:rsid w:val="00E0226C"/>
    <w:rsid w:val="00E02A27"/>
    <w:rsid w:val="00E06100"/>
    <w:rsid w:val="00E1008C"/>
    <w:rsid w:val="00E124AA"/>
    <w:rsid w:val="00E132B1"/>
    <w:rsid w:val="00E13CFE"/>
    <w:rsid w:val="00E16613"/>
    <w:rsid w:val="00E21A8F"/>
    <w:rsid w:val="00E21D9D"/>
    <w:rsid w:val="00E23200"/>
    <w:rsid w:val="00E237BC"/>
    <w:rsid w:val="00E25855"/>
    <w:rsid w:val="00E2787E"/>
    <w:rsid w:val="00E32459"/>
    <w:rsid w:val="00E3365F"/>
    <w:rsid w:val="00E345F9"/>
    <w:rsid w:val="00E34635"/>
    <w:rsid w:val="00E361A9"/>
    <w:rsid w:val="00E36D6B"/>
    <w:rsid w:val="00E37E8B"/>
    <w:rsid w:val="00E40D89"/>
    <w:rsid w:val="00E40E26"/>
    <w:rsid w:val="00E41C1B"/>
    <w:rsid w:val="00E4242E"/>
    <w:rsid w:val="00E43C2E"/>
    <w:rsid w:val="00E47DB7"/>
    <w:rsid w:val="00E52A7B"/>
    <w:rsid w:val="00E571C0"/>
    <w:rsid w:val="00E611AE"/>
    <w:rsid w:val="00E6174D"/>
    <w:rsid w:val="00E62069"/>
    <w:rsid w:val="00E621CE"/>
    <w:rsid w:val="00E62254"/>
    <w:rsid w:val="00E65342"/>
    <w:rsid w:val="00E65525"/>
    <w:rsid w:val="00E712D0"/>
    <w:rsid w:val="00E71326"/>
    <w:rsid w:val="00E73612"/>
    <w:rsid w:val="00E75288"/>
    <w:rsid w:val="00E75A37"/>
    <w:rsid w:val="00E823B3"/>
    <w:rsid w:val="00E8484F"/>
    <w:rsid w:val="00E85707"/>
    <w:rsid w:val="00E872ED"/>
    <w:rsid w:val="00E92064"/>
    <w:rsid w:val="00E9387A"/>
    <w:rsid w:val="00E9480C"/>
    <w:rsid w:val="00E95663"/>
    <w:rsid w:val="00E95EB3"/>
    <w:rsid w:val="00E964C0"/>
    <w:rsid w:val="00EA2B62"/>
    <w:rsid w:val="00EA2E42"/>
    <w:rsid w:val="00EA32F0"/>
    <w:rsid w:val="00EA375D"/>
    <w:rsid w:val="00EA3900"/>
    <w:rsid w:val="00EA5B77"/>
    <w:rsid w:val="00EA70D7"/>
    <w:rsid w:val="00EA7A33"/>
    <w:rsid w:val="00EB1185"/>
    <w:rsid w:val="00EB49CB"/>
    <w:rsid w:val="00EB4E0E"/>
    <w:rsid w:val="00EB6041"/>
    <w:rsid w:val="00EB6709"/>
    <w:rsid w:val="00EB68D5"/>
    <w:rsid w:val="00EB6ADE"/>
    <w:rsid w:val="00EC0746"/>
    <w:rsid w:val="00EC38A6"/>
    <w:rsid w:val="00EC3EA3"/>
    <w:rsid w:val="00EC5EF7"/>
    <w:rsid w:val="00EC5F17"/>
    <w:rsid w:val="00EC713F"/>
    <w:rsid w:val="00EC74E0"/>
    <w:rsid w:val="00ED1427"/>
    <w:rsid w:val="00ED1E9A"/>
    <w:rsid w:val="00ED1FBA"/>
    <w:rsid w:val="00ED30D4"/>
    <w:rsid w:val="00ED4F82"/>
    <w:rsid w:val="00ED5283"/>
    <w:rsid w:val="00EE0C04"/>
    <w:rsid w:val="00EE5D50"/>
    <w:rsid w:val="00EE70DE"/>
    <w:rsid w:val="00EF0B09"/>
    <w:rsid w:val="00EF0D62"/>
    <w:rsid w:val="00EF2850"/>
    <w:rsid w:val="00EF2CDB"/>
    <w:rsid w:val="00EF36CE"/>
    <w:rsid w:val="00EF3CDA"/>
    <w:rsid w:val="00EF4E2A"/>
    <w:rsid w:val="00EF57DF"/>
    <w:rsid w:val="00EF67C1"/>
    <w:rsid w:val="00EF7FD8"/>
    <w:rsid w:val="00F009FD"/>
    <w:rsid w:val="00F00B71"/>
    <w:rsid w:val="00F0102D"/>
    <w:rsid w:val="00F02CF1"/>
    <w:rsid w:val="00F03EA2"/>
    <w:rsid w:val="00F04FEA"/>
    <w:rsid w:val="00F052E8"/>
    <w:rsid w:val="00F05D9C"/>
    <w:rsid w:val="00F05F6B"/>
    <w:rsid w:val="00F06867"/>
    <w:rsid w:val="00F10140"/>
    <w:rsid w:val="00F11EE5"/>
    <w:rsid w:val="00F121A1"/>
    <w:rsid w:val="00F14D19"/>
    <w:rsid w:val="00F15BCF"/>
    <w:rsid w:val="00F17AD7"/>
    <w:rsid w:val="00F231EB"/>
    <w:rsid w:val="00F24B5E"/>
    <w:rsid w:val="00F25325"/>
    <w:rsid w:val="00F2559B"/>
    <w:rsid w:val="00F25E80"/>
    <w:rsid w:val="00F272F2"/>
    <w:rsid w:val="00F3163A"/>
    <w:rsid w:val="00F31C91"/>
    <w:rsid w:val="00F31C96"/>
    <w:rsid w:val="00F32FDC"/>
    <w:rsid w:val="00F3366D"/>
    <w:rsid w:val="00F33A27"/>
    <w:rsid w:val="00F354B5"/>
    <w:rsid w:val="00F367EE"/>
    <w:rsid w:val="00F36A3F"/>
    <w:rsid w:val="00F37F49"/>
    <w:rsid w:val="00F4073A"/>
    <w:rsid w:val="00F41E39"/>
    <w:rsid w:val="00F4343F"/>
    <w:rsid w:val="00F441E9"/>
    <w:rsid w:val="00F4528C"/>
    <w:rsid w:val="00F45D54"/>
    <w:rsid w:val="00F50236"/>
    <w:rsid w:val="00F50368"/>
    <w:rsid w:val="00F5146C"/>
    <w:rsid w:val="00F52DC1"/>
    <w:rsid w:val="00F53FD2"/>
    <w:rsid w:val="00F54863"/>
    <w:rsid w:val="00F56186"/>
    <w:rsid w:val="00F57C87"/>
    <w:rsid w:val="00F61D20"/>
    <w:rsid w:val="00F61DA9"/>
    <w:rsid w:val="00F624C8"/>
    <w:rsid w:val="00F63401"/>
    <w:rsid w:val="00F66BC3"/>
    <w:rsid w:val="00F705D3"/>
    <w:rsid w:val="00F7133F"/>
    <w:rsid w:val="00F74275"/>
    <w:rsid w:val="00F7452B"/>
    <w:rsid w:val="00F87119"/>
    <w:rsid w:val="00F90C10"/>
    <w:rsid w:val="00F91659"/>
    <w:rsid w:val="00F91E2B"/>
    <w:rsid w:val="00F924BD"/>
    <w:rsid w:val="00F92D02"/>
    <w:rsid w:val="00F94204"/>
    <w:rsid w:val="00F95BD0"/>
    <w:rsid w:val="00FA0BD3"/>
    <w:rsid w:val="00FA20FA"/>
    <w:rsid w:val="00FA4924"/>
    <w:rsid w:val="00FA6EAD"/>
    <w:rsid w:val="00FA78E8"/>
    <w:rsid w:val="00FB000F"/>
    <w:rsid w:val="00FB0B60"/>
    <w:rsid w:val="00FB0ED6"/>
    <w:rsid w:val="00FB1696"/>
    <w:rsid w:val="00FB2154"/>
    <w:rsid w:val="00FB4D08"/>
    <w:rsid w:val="00FB7968"/>
    <w:rsid w:val="00FB79A0"/>
    <w:rsid w:val="00FC2F1D"/>
    <w:rsid w:val="00FC2F4F"/>
    <w:rsid w:val="00FC3D10"/>
    <w:rsid w:val="00FC4569"/>
    <w:rsid w:val="00FC4819"/>
    <w:rsid w:val="00FC57DA"/>
    <w:rsid w:val="00FC5EC8"/>
    <w:rsid w:val="00FC7FB4"/>
    <w:rsid w:val="00FD021C"/>
    <w:rsid w:val="00FD1BD5"/>
    <w:rsid w:val="00FD247C"/>
    <w:rsid w:val="00FD606A"/>
    <w:rsid w:val="00FD7597"/>
    <w:rsid w:val="00FE0B66"/>
    <w:rsid w:val="00FE17C3"/>
    <w:rsid w:val="00FE2133"/>
    <w:rsid w:val="00FE3669"/>
    <w:rsid w:val="00FE3821"/>
    <w:rsid w:val="00FE4C51"/>
    <w:rsid w:val="00FE51BF"/>
    <w:rsid w:val="00FE5714"/>
    <w:rsid w:val="00FE5FBF"/>
    <w:rsid w:val="00FE63A5"/>
    <w:rsid w:val="00FE6E2B"/>
    <w:rsid w:val="00FE770B"/>
    <w:rsid w:val="00FE78F5"/>
    <w:rsid w:val="00FE7DE6"/>
    <w:rsid w:val="00FF0969"/>
    <w:rsid w:val="00FF0E3F"/>
    <w:rsid w:val="00FF45C6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61EFEDFA"/>
  <w15:docId w15:val="{C40C5C98-0DC2-47D9-ABE5-4DFF53B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ttre d'introduction,Resume Title,Citation List,Paragrafo elenco,List Paragraph1,1st level - Bullet List Paragraph,REPORT Bullet,Paragraph,List Paragraph Red,lp1,Heading 12,heading 1,naslov 1,Naslov 12,Graf,3,Akapit z listą BS,Bullet1,Ha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,REPORT Bullet Char,Paragraph Char,List Paragraph Red Char,lp1 Char,Heading 12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noteText">
    <w:name w:val="footnote text"/>
    <w:aliases w:val="Char1 Char,Geneva 9,Font: Geneva 9,Boston 10,f,single space,Car,Text poznámky pod čiarou 007,_Poznámka pod čiarou,fn,ft,FT,註腳文字 字元,fn 字元,註腳文字 字元1,fn 字元1,fn 字元 字元,Footnote Text AG,fn1,fn Char Char Char Char Char Char Char,fn Char Char,Char"/>
    <w:basedOn w:val="Normal"/>
    <w:link w:val="FootnoteTextChar"/>
    <w:uiPriority w:val="99"/>
    <w:unhideWhenUsed/>
    <w:qFormat/>
    <w:rsid w:val="0087668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Char1 Char Char,Geneva 9 Char,Font: Geneva 9 Char,Boston 10 Char,f Char,single space Char,Car Char,Text poznámky pod čiarou 007 Char,_Poznámka pod čiarou Char,fn Char,ft Char,FT Char,註腳文字 字元 Char,fn 字元 Char,註腳文字 字元1 Char,fn 字元1 Char"/>
    <w:basedOn w:val="DefaultParagraphFont"/>
    <w:link w:val="FootnoteText"/>
    <w:uiPriority w:val="99"/>
    <w:rsid w:val="00876688"/>
    <w:rPr>
      <w:rFonts w:ascii="Arial" w:eastAsia="Calibri" w:hAnsi="Arial" w:cs="Times New Roman"/>
      <w:sz w:val="20"/>
      <w:szCs w:val="20"/>
      <w:lang w:eastAsia="hr-HR"/>
    </w:rPr>
  </w:style>
  <w:style w:type="character" w:styleId="FootnoteReference">
    <w:name w:val="footnote reference"/>
    <w:aliases w:val="16 Point,Superscript 6 Point,Footnote Reference Number,Footnote symbol,SUPERS,Footnote Reference Superscript,Footnote Refernece,ftref,Odwołanie przypisu,BVI fnr,Footnotes refss,Ref,de nota al pie,-E Fußnotenzeichen,Times 10 Point,E,fr"/>
    <w:basedOn w:val="DefaultParagraphFont"/>
    <w:uiPriority w:val="99"/>
    <w:unhideWhenUsed/>
    <w:qFormat/>
    <w:rsid w:val="00876688"/>
    <w:rPr>
      <w:vertAlign w:val="superscript"/>
    </w:rPr>
  </w:style>
  <w:style w:type="paragraph" w:styleId="Revision">
    <w:name w:val="Revision"/>
    <w:hidden/>
    <w:uiPriority w:val="99"/>
    <w:semiHidden/>
    <w:rsid w:val="003E3429"/>
    <w:pPr>
      <w:spacing w:after="0" w:line="240" w:lineRule="auto"/>
    </w:pPr>
    <w:rPr>
      <w:rFonts w:ascii="Arial" w:eastAsia="Calibri" w:hAnsi="Arial" w:cs="Times New Roman"/>
      <w:szCs w:val="20"/>
      <w:lang w:eastAsia="hr-HR"/>
    </w:rPr>
  </w:style>
  <w:style w:type="paragraph" w:customStyle="1" w:styleId="Default">
    <w:name w:val="Default"/>
    <w:rsid w:val="00A21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2D4-C321-4919-ABAD-351BE9E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Tonković Ilka</dc:creator>
  <cp:keywords/>
  <dc:description/>
  <cp:lastModifiedBy>Antolović Divna</cp:lastModifiedBy>
  <cp:revision>186</cp:revision>
  <cp:lastPrinted>2024-12-19T13:09:00Z</cp:lastPrinted>
  <dcterms:created xsi:type="dcterms:W3CDTF">2023-01-20T08:51:00Z</dcterms:created>
  <dcterms:modified xsi:type="dcterms:W3CDTF">2025-01-09T08:36:00Z</dcterms:modified>
</cp:coreProperties>
</file>